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00" w:lineRule="auto"/>
        <w:jc w:val="center"/>
        <w:rPr>
          <w:rStyle w:val="9"/>
          <w:rFonts w:hint="eastAsia" w:ascii="宋体" w:hAnsi="宋体" w:cs="宋体"/>
          <w:b/>
          <w:bCs/>
          <w:spacing w:val="20"/>
          <w:kern w:val="0"/>
          <w:sz w:val="48"/>
          <w:szCs w:val="48"/>
        </w:rPr>
      </w:pPr>
      <w:r>
        <w:rPr>
          <w:rStyle w:val="9"/>
          <w:rFonts w:hint="eastAsia" w:ascii="宋体" w:hAnsi="宋体" w:cs="宋体"/>
          <w:b/>
          <w:bCs/>
          <w:spacing w:val="20"/>
          <w:kern w:val="0"/>
          <w:sz w:val="48"/>
          <w:szCs w:val="48"/>
        </w:rPr>
        <w:t>直播</w:t>
      </w:r>
      <w:r>
        <w:rPr>
          <w:rStyle w:val="9"/>
          <w:rFonts w:hint="eastAsia" w:ascii="宋体" w:hAnsi="宋体" w:cs="宋体"/>
          <w:b/>
          <w:bCs/>
          <w:spacing w:val="20"/>
          <w:kern w:val="0"/>
          <w:sz w:val="48"/>
          <w:szCs w:val="48"/>
          <w:lang w:val="en-US" w:eastAsia="zh-CN"/>
        </w:rPr>
        <w:t>背包TVU</w:t>
      </w:r>
      <w:bookmarkStart w:id="0" w:name="_GoBack"/>
      <w:bookmarkEnd w:id="0"/>
      <w:r>
        <w:rPr>
          <w:rStyle w:val="9"/>
          <w:rFonts w:hint="eastAsia" w:ascii="宋体" w:hAnsi="宋体" w:cs="宋体"/>
          <w:b/>
          <w:bCs/>
          <w:spacing w:val="20"/>
          <w:kern w:val="0"/>
          <w:sz w:val="48"/>
          <w:szCs w:val="48"/>
        </w:rPr>
        <w:t>以旧换新采购合同</w:t>
      </w:r>
    </w:p>
    <w:p>
      <w:pPr>
        <w:spacing w:line="360" w:lineRule="auto"/>
        <w:rPr>
          <w:rStyle w:val="9"/>
          <w:rFonts w:hint="eastAsia" w:ascii="宋体" w:hAnsi="宋体"/>
          <w:b/>
          <w:bCs/>
          <w:kern w:val="0"/>
          <w:sz w:val="24"/>
          <w:szCs w:val="24"/>
        </w:rPr>
      </w:pPr>
      <w:r>
        <w:rPr>
          <w:rStyle w:val="9"/>
          <w:rFonts w:hint="eastAsia" w:ascii="宋体" w:hAnsi="宋体"/>
          <w:b/>
          <w:bCs/>
          <w:kern w:val="0"/>
          <w:sz w:val="24"/>
          <w:szCs w:val="24"/>
        </w:rPr>
        <w:t>甲方：广东南方报业移动媒体有限公司</w:t>
      </w:r>
    </w:p>
    <w:p>
      <w:pPr>
        <w:spacing w:after="156" w:afterLines="50" w:line="360" w:lineRule="auto"/>
        <w:rPr>
          <w:rStyle w:val="9"/>
          <w:rFonts w:hint="eastAsia" w:ascii="宋体" w:hAnsi="宋体"/>
          <w:b/>
          <w:bCs/>
          <w:kern w:val="0"/>
          <w:sz w:val="24"/>
          <w:szCs w:val="24"/>
        </w:rPr>
      </w:pPr>
      <w:r>
        <w:rPr>
          <w:rStyle w:val="9"/>
          <w:rFonts w:hint="eastAsia" w:ascii="宋体" w:hAnsi="宋体"/>
          <w:b/>
          <w:bCs/>
          <w:kern w:val="0"/>
          <w:sz w:val="24"/>
          <w:szCs w:val="24"/>
        </w:rPr>
        <w:t>乙方</w:t>
      </w:r>
      <w:r>
        <w:rPr>
          <w:rStyle w:val="9"/>
          <w:rFonts w:ascii="宋体" w:hAnsi="宋体"/>
          <w:b/>
          <w:bCs/>
          <w:kern w:val="0"/>
          <w:sz w:val="24"/>
          <w:szCs w:val="24"/>
        </w:rPr>
        <w:t>:</w:t>
      </w:r>
      <w:r>
        <w:rPr>
          <w:rFonts w:hint="eastAsia" w:ascii="宋体" w:hAnsi="宋体"/>
        </w:rPr>
        <w:t xml:space="preserve"> </w:t>
      </w:r>
    </w:p>
    <w:p>
      <w:pPr>
        <w:spacing w:line="360" w:lineRule="auto"/>
        <w:rPr>
          <w:rStyle w:val="9"/>
          <w:rFonts w:hint="eastAsia" w:ascii="宋体" w:hAnsi="宋体"/>
          <w:kern w:val="0"/>
          <w:sz w:val="24"/>
          <w:szCs w:val="24"/>
        </w:rPr>
      </w:pPr>
      <w:r>
        <w:rPr>
          <w:rStyle w:val="9"/>
          <w:rFonts w:hint="eastAsia" w:ascii="宋体" w:hAnsi="宋体"/>
          <w:kern w:val="0"/>
          <w:sz w:val="24"/>
          <w:szCs w:val="24"/>
        </w:rPr>
        <w:t xml:space="preserve">    甲乙双方本着平等互利、诚实守信的原则，经充分协商，就乙方向甲方销售</w:t>
      </w:r>
      <w:r>
        <w:rPr>
          <w:rStyle w:val="9"/>
          <w:rFonts w:hint="eastAsia" w:ascii="宋体" w:hAnsi="宋体"/>
          <w:b/>
          <w:bCs/>
          <w:kern w:val="0"/>
          <w:sz w:val="24"/>
          <w:szCs w:val="24"/>
        </w:rPr>
        <w:t>TVU 5G直播设备及以旧换新项目</w:t>
      </w:r>
      <w:r>
        <w:rPr>
          <w:rStyle w:val="9"/>
          <w:rFonts w:hint="eastAsia" w:ascii="宋体" w:hAnsi="宋体"/>
          <w:kern w:val="0"/>
          <w:sz w:val="24"/>
          <w:szCs w:val="24"/>
        </w:rPr>
        <w:t>事宜经协商达成一致，确立本合同，以明确双方的权利、义务，以资共同遵守。</w:t>
      </w:r>
    </w:p>
    <w:p>
      <w:pPr>
        <w:spacing w:line="360" w:lineRule="auto"/>
        <w:rPr>
          <w:rStyle w:val="9"/>
          <w:rFonts w:hint="eastAsia" w:ascii="宋体" w:hAnsi="宋体"/>
          <w:b/>
          <w:bCs/>
          <w:kern w:val="0"/>
          <w:sz w:val="24"/>
          <w:szCs w:val="24"/>
        </w:rPr>
      </w:pPr>
      <w:r>
        <w:rPr>
          <w:rStyle w:val="9"/>
          <w:rFonts w:hint="eastAsia" w:ascii="宋体" w:hAnsi="宋体"/>
          <w:b/>
          <w:bCs/>
          <w:kern w:val="0"/>
          <w:sz w:val="24"/>
          <w:szCs w:val="24"/>
        </w:rPr>
        <w:t>一、乙方向甲方销售新产品的</w:t>
      </w:r>
      <w:r>
        <w:rPr>
          <w:rStyle w:val="9"/>
          <w:rFonts w:hint="eastAsia" w:ascii="宋体" w:hAnsi="宋体"/>
          <w:b/>
          <w:sz w:val="24"/>
          <w:szCs w:val="24"/>
        </w:rPr>
        <w:t>设备名称</w:t>
      </w:r>
      <w:r>
        <w:rPr>
          <w:rStyle w:val="9"/>
          <w:rFonts w:hint="eastAsia" w:ascii="宋体" w:hAnsi="宋体"/>
          <w:b/>
          <w:bCs/>
          <w:kern w:val="0"/>
          <w:sz w:val="24"/>
          <w:szCs w:val="24"/>
        </w:rPr>
        <w:t>、</w:t>
      </w:r>
      <w:r>
        <w:rPr>
          <w:rStyle w:val="9"/>
          <w:rFonts w:hint="eastAsia" w:ascii="宋体" w:hAnsi="宋体"/>
          <w:b/>
          <w:sz w:val="24"/>
          <w:szCs w:val="24"/>
        </w:rPr>
        <w:t>品牌、型号</w:t>
      </w:r>
      <w:r>
        <w:rPr>
          <w:rStyle w:val="9"/>
          <w:rFonts w:hint="eastAsia" w:ascii="宋体" w:hAnsi="宋体"/>
          <w:b/>
          <w:bCs/>
          <w:kern w:val="0"/>
          <w:sz w:val="24"/>
          <w:szCs w:val="24"/>
        </w:rPr>
        <w:t>、数量、价格</w:t>
      </w:r>
    </w:p>
    <w:tbl>
      <w:tblPr>
        <w:tblStyle w:val="6"/>
        <w:tblW w:w="8643" w:type="dxa"/>
        <w:jc w:val="center"/>
        <w:tblLayout w:type="autofit"/>
        <w:tblCellMar>
          <w:top w:w="0" w:type="dxa"/>
          <w:left w:w="108" w:type="dxa"/>
          <w:bottom w:w="0" w:type="dxa"/>
          <w:right w:w="108" w:type="dxa"/>
        </w:tblCellMar>
      </w:tblPr>
      <w:tblGrid>
        <w:gridCol w:w="763"/>
        <w:gridCol w:w="1494"/>
        <w:gridCol w:w="3550"/>
        <w:gridCol w:w="942"/>
        <w:gridCol w:w="762"/>
        <w:gridCol w:w="1132"/>
      </w:tblGrid>
      <w:tr>
        <w:tblPrEx>
          <w:tblCellMar>
            <w:top w:w="0" w:type="dxa"/>
            <w:left w:w="108" w:type="dxa"/>
            <w:bottom w:w="0" w:type="dxa"/>
            <w:right w:w="108" w:type="dxa"/>
          </w:tblCellMar>
        </w:tblPrEx>
        <w:trPr>
          <w:trHeight w:val="1161" w:hRule="atLeast"/>
          <w:jc w:val="center"/>
        </w:trPr>
        <w:tc>
          <w:tcPr>
            <w:tcW w:w="763" w:type="dxa"/>
            <w:tcBorders>
              <w:top w:val="single" w:color="auto" w:sz="4" w:space="0"/>
              <w:left w:val="single" w:color="auto" w:sz="4" w:space="0"/>
              <w:bottom w:val="single" w:color="auto" w:sz="4" w:space="0"/>
              <w:right w:val="single" w:color="auto" w:sz="4" w:space="0"/>
            </w:tcBorders>
            <w:noWrap/>
            <w:vAlign w:val="center"/>
          </w:tcPr>
          <w:p>
            <w:pPr>
              <w:jc w:val="center"/>
              <w:textAlignment w:val="auto"/>
              <w:rPr>
                <w:rFonts w:hint="eastAsia" w:ascii="宋体" w:hAnsi="宋体" w:cs="宋体"/>
                <w:b/>
                <w:bCs/>
                <w:kern w:val="0"/>
                <w:sz w:val="24"/>
                <w:szCs w:val="24"/>
              </w:rPr>
            </w:pPr>
            <w:r>
              <w:rPr>
                <w:rFonts w:hint="eastAsia" w:ascii="宋体" w:hAnsi="宋体" w:cs="宋体"/>
                <w:b/>
                <w:bCs/>
                <w:kern w:val="0"/>
                <w:sz w:val="24"/>
                <w:szCs w:val="24"/>
              </w:rPr>
              <w:t>序号</w:t>
            </w:r>
          </w:p>
        </w:tc>
        <w:tc>
          <w:tcPr>
            <w:tcW w:w="1494" w:type="dxa"/>
            <w:tcBorders>
              <w:top w:val="single" w:color="auto" w:sz="4" w:space="0"/>
              <w:left w:val="nil"/>
              <w:bottom w:val="single" w:color="auto" w:sz="4" w:space="0"/>
              <w:right w:val="single" w:color="auto" w:sz="4" w:space="0"/>
            </w:tcBorders>
            <w:noWrap/>
            <w:vAlign w:val="center"/>
          </w:tcPr>
          <w:p>
            <w:pPr>
              <w:jc w:val="center"/>
              <w:textAlignment w:val="auto"/>
              <w:rPr>
                <w:rFonts w:hint="eastAsia" w:ascii="宋体" w:hAnsi="宋体" w:cs="宋体"/>
                <w:b/>
                <w:bCs/>
                <w:kern w:val="0"/>
                <w:sz w:val="24"/>
                <w:szCs w:val="24"/>
              </w:rPr>
            </w:pPr>
            <w:r>
              <w:rPr>
                <w:rFonts w:hint="eastAsia" w:ascii="宋体" w:hAnsi="宋体" w:cs="宋体"/>
                <w:b/>
                <w:bCs/>
                <w:kern w:val="0"/>
                <w:sz w:val="24"/>
                <w:szCs w:val="24"/>
              </w:rPr>
              <w:t>设备名称</w:t>
            </w:r>
          </w:p>
        </w:tc>
        <w:tc>
          <w:tcPr>
            <w:tcW w:w="3550" w:type="dxa"/>
            <w:tcBorders>
              <w:top w:val="single" w:color="auto" w:sz="4" w:space="0"/>
              <w:left w:val="nil"/>
              <w:bottom w:val="single" w:color="auto" w:sz="4" w:space="0"/>
              <w:right w:val="single" w:color="auto" w:sz="4" w:space="0"/>
            </w:tcBorders>
            <w:noWrap/>
            <w:vAlign w:val="center"/>
          </w:tcPr>
          <w:p>
            <w:pPr>
              <w:jc w:val="center"/>
              <w:textAlignment w:val="auto"/>
              <w:rPr>
                <w:rFonts w:hint="eastAsia" w:ascii="宋体" w:hAnsi="宋体" w:cs="宋体"/>
                <w:b/>
                <w:bCs/>
                <w:kern w:val="0"/>
                <w:sz w:val="24"/>
                <w:szCs w:val="24"/>
              </w:rPr>
            </w:pPr>
            <w:r>
              <w:rPr>
                <w:rFonts w:hint="eastAsia" w:ascii="宋体" w:hAnsi="宋体" w:cs="宋体"/>
                <w:b/>
                <w:bCs/>
                <w:kern w:val="0"/>
                <w:sz w:val="24"/>
                <w:szCs w:val="24"/>
              </w:rPr>
              <w:t>品牌型号及规格配置</w:t>
            </w:r>
          </w:p>
        </w:tc>
        <w:tc>
          <w:tcPr>
            <w:tcW w:w="942" w:type="dxa"/>
            <w:tcBorders>
              <w:top w:val="single" w:color="auto" w:sz="4" w:space="0"/>
              <w:left w:val="nil"/>
              <w:bottom w:val="single" w:color="auto" w:sz="4" w:space="0"/>
              <w:right w:val="single" w:color="auto" w:sz="4" w:space="0"/>
            </w:tcBorders>
            <w:noWrap/>
            <w:vAlign w:val="center"/>
          </w:tcPr>
          <w:p>
            <w:pPr>
              <w:jc w:val="center"/>
              <w:textAlignment w:val="auto"/>
              <w:rPr>
                <w:rFonts w:hint="eastAsia" w:ascii="宋体" w:hAnsi="宋体" w:cs="宋体"/>
                <w:b/>
                <w:bCs/>
                <w:kern w:val="0"/>
                <w:sz w:val="24"/>
                <w:szCs w:val="24"/>
              </w:rPr>
            </w:pPr>
            <w:r>
              <w:rPr>
                <w:rFonts w:hint="eastAsia" w:ascii="宋体" w:hAnsi="宋体" w:cs="宋体"/>
                <w:b/>
                <w:bCs/>
                <w:kern w:val="0"/>
                <w:sz w:val="24"/>
                <w:szCs w:val="24"/>
              </w:rPr>
              <w:t>新购单价（元）</w:t>
            </w:r>
          </w:p>
        </w:tc>
        <w:tc>
          <w:tcPr>
            <w:tcW w:w="762" w:type="dxa"/>
            <w:tcBorders>
              <w:top w:val="single" w:color="auto" w:sz="4" w:space="0"/>
              <w:left w:val="nil"/>
              <w:bottom w:val="single" w:color="auto" w:sz="4" w:space="0"/>
              <w:right w:val="single" w:color="auto" w:sz="4" w:space="0"/>
            </w:tcBorders>
            <w:noWrap/>
            <w:vAlign w:val="center"/>
          </w:tcPr>
          <w:p>
            <w:pPr>
              <w:jc w:val="center"/>
              <w:textAlignment w:val="auto"/>
              <w:rPr>
                <w:rFonts w:hint="eastAsia" w:ascii="宋体" w:hAnsi="宋体" w:cs="宋体"/>
                <w:b/>
                <w:bCs/>
                <w:kern w:val="0"/>
                <w:sz w:val="24"/>
                <w:szCs w:val="24"/>
              </w:rPr>
            </w:pPr>
            <w:r>
              <w:rPr>
                <w:rFonts w:hint="eastAsia" w:ascii="宋体" w:hAnsi="宋体" w:cs="宋体"/>
                <w:b/>
                <w:bCs/>
                <w:kern w:val="0"/>
                <w:sz w:val="24"/>
                <w:szCs w:val="24"/>
              </w:rPr>
              <w:t>数量</w:t>
            </w:r>
          </w:p>
        </w:tc>
        <w:tc>
          <w:tcPr>
            <w:tcW w:w="1132" w:type="dxa"/>
            <w:tcBorders>
              <w:top w:val="single" w:color="auto" w:sz="4" w:space="0"/>
              <w:left w:val="nil"/>
              <w:bottom w:val="single" w:color="auto" w:sz="4" w:space="0"/>
              <w:right w:val="single" w:color="auto" w:sz="4" w:space="0"/>
            </w:tcBorders>
            <w:noWrap/>
            <w:vAlign w:val="center"/>
          </w:tcPr>
          <w:p>
            <w:pPr>
              <w:jc w:val="center"/>
              <w:textAlignment w:val="auto"/>
              <w:rPr>
                <w:rFonts w:hint="eastAsia" w:ascii="宋体" w:hAnsi="宋体" w:cs="宋体"/>
                <w:b/>
                <w:bCs/>
                <w:kern w:val="0"/>
                <w:sz w:val="24"/>
                <w:szCs w:val="24"/>
              </w:rPr>
            </w:pPr>
            <w:r>
              <w:rPr>
                <w:rFonts w:hint="eastAsia" w:ascii="宋体" w:hAnsi="宋体" w:cs="宋体"/>
                <w:b/>
                <w:bCs/>
                <w:kern w:val="0"/>
                <w:sz w:val="24"/>
                <w:szCs w:val="24"/>
              </w:rPr>
              <w:t>总价（元）</w:t>
            </w:r>
          </w:p>
        </w:tc>
      </w:tr>
      <w:tr>
        <w:tblPrEx>
          <w:tblCellMar>
            <w:top w:w="0" w:type="dxa"/>
            <w:left w:w="108" w:type="dxa"/>
            <w:bottom w:w="0" w:type="dxa"/>
            <w:right w:w="108" w:type="dxa"/>
          </w:tblCellMar>
        </w:tblPrEx>
        <w:trPr>
          <w:trHeight w:val="932" w:hRule="atLeast"/>
          <w:jc w:val="center"/>
        </w:trPr>
        <w:tc>
          <w:tcPr>
            <w:tcW w:w="763" w:type="dxa"/>
            <w:vMerge w:val="restart"/>
            <w:tcBorders>
              <w:top w:val="nil"/>
              <w:left w:val="single" w:color="auto" w:sz="4" w:space="0"/>
              <w:bottom w:val="single" w:color="000000" w:sz="4" w:space="0"/>
              <w:right w:val="single" w:color="auto" w:sz="4" w:space="0"/>
            </w:tcBorders>
            <w:noWrap/>
            <w:vAlign w:val="center"/>
          </w:tcPr>
          <w:p>
            <w:pPr>
              <w:jc w:val="center"/>
              <w:textAlignment w:val="auto"/>
              <w:rPr>
                <w:rFonts w:hint="eastAsia" w:ascii="宋体" w:hAnsi="宋体" w:cs="宋体"/>
                <w:kern w:val="0"/>
                <w:sz w:val="24"/>
                <w:szCs w:val="24"/>
              </w:rPr>
            </w:pPr>
            <w:r>
              <w:rPr>
                <w:rFonts w:hint="eastAsia" w:ascii="宋体" w:hAnsi="宋体" w:cs="宋体"/>
                <w:kern w:val="0"/>
                <w:sz w:val="24"/>
                <w:szCs w:val="24"/>
              </w:rPr>
              <w:t>1</w:t>
            </w:r>
          </w:p>
        </w:tc>
        <w:tc>
          <w:tcPr>
            <w:tcW w:w="1494"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textAlignment w:val="auto"/>
              <w:rPr>
                <w:rFonts w:hint="eastAsia" w:ascii="宋体" w:hAnsi="宋体" w:cs="宋体"/>
                <w:b/>
                <w:bCs/>
                <w:color w:val="000000"/>
                <w:kern w:val="0"/>
                <w:sz w:val="24"/>
                <w:szCs w:val="24"/>
              </w:rPr>
            </w:pPr>
            <w:r>
              <w:rPr>
                <w:rFonts w:hint="eastAsia" w:ascii="宋体" w:hAnsi="宋体" w:cs="宋体"/>
                <w:b/>
                <w:bCs/>
                <w:color w:val="000000"/>
                <w:kern w:val="0"/>
                <w:sz w:val="24"/>
                <w:szCs w:val="24"/>
              </w:rPr>
              <w:t xml:space="preserve">全5G </w:t>
            </w:r>
          </w:p>
          <w:p>
            <w:pPr>
              <w:jc w:val="center"/>
              <w:textAlignment w:val="auto"/>
              <w:rPr>
                <w:rFonts w:hint="eastAsia" w:ascii="宋体" w:hAnsi="宋体" w:cs="宋体"/>
                <w:b/>
                <w:bCs/>
                <w:color w:val="000000"/>
                <w:kern w:val="0"/>
                <w:sz w:val="24"/>
                <w:szCs w:val="24"/>
              </w:rPr>
            </w:pPr>
            <w:r>
              <w:rPr>
                <w:rFonts w:hint="eastAsia" w:ascii="宋体" w:hAnsi="宋体" w:cs="宋体"/>
                <w:b/>
                <w:bCs/>
                <w:color w:val="000000"/>
                <w:kern w:val="0"/>
                <w:sz w:val="24"/>
                <w:szCs w:val="24"/>
              </w:rPr>
              <w:t>发射包</w:t>
            </w: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 xml:space="preserve">TVU One TM1000 ：                                                                           1路 HD SDI/HDMI输入           </w:t>
            </w:r>
          </w:p>
        </w:tc>
        <w:tc>
          <w:tcPr>
            <w:tcW w:w="94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textAlignment w:val="auto"/>
              <w:rPr>
                <w:rFonts w:hint="eastAsia" w:ascii="宋体" w:hAnsi="宋体" w:cs="宋体"/>
                <w:kern w:val="0"/>
                <w:sz w:val="24"/>
                <w:szCs w:val="24"/>
              </w:rPr>
            </w:pPr>
          </w:p>
        </w:tc>
        <w:tc>
          <w:tcPr>
            <w:tcW w:w="76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textAlignment w:val="auto"/>
              <w:rPr>
                <w:rFonts w:hint="eastAsia" w:ascii="宋体" w:hAnsi="宋体" w:cs="宋体"/>
                <w:kern w:val="0"/>
                <w:sz w:val="24"/>
                <w:szCs w:val="24"/>
              </w:rPr>
            </w:pPr>
          </w:p>
        </w:tc>
        <w:tc>
          <w:tcPr>
            <w:tcW w:w="1132" w:type="dxa"/>
            <w:vMerge w:val="restart"/>
            <w:tcBorders>
              <w:top w:val="nil"/>
              <w:left w:val="single" w:color="auto" w:sz="4" w:space="0"/>
              <w:bottom w:val="single" w:color="auto" w:sz="4" w:space="0"/>
              <w:right w:val="single" w:color="auto" w:sz="4" w:space="0"/>
            </w:tcBorders>
            <w:shd w:val="clear" w:color="000000" w:fill="FFFFFF"/>
            <w:noWrap/>
            <w:vAlign w:val="center"/>
          </w:tcPr>
          <w:p>
            <w:pPr>
              <w:jc w:val="center"/>
              <w:textAlignment w:val="auto"/>
              <w:rPr>
                <w:rFonts w:hint="eastAsia" w:ascii="宋体" w:hAnsi="宋体" w:cs="宋体"/>
                <w:kern w:val="0"/>
                <w:sz w:val="24"/>
                <w:szCs w:val="24"/>
              </w:rPr>
            </w:pPr>
          </w:p>
        </w:tc>
      </w:tr>
      <w:tr>
        <w:tblPrEx>
          <w:tblCellMar>
            <w:top w:w="0" w:type="dxa"/>
            <w:left w:w="108" w:type="dxa"/>
            <w:bottom w:w="0" w:type="dxa"/>
            <w:right w:w="108" w:type="dxa"/>
          </w:tblCellMar>
        </w:tblPrEx>
        <w:trPr>
          <w:trHeight w:val="666" w:hRule="atLeast"/>
          <w:jc w:val="center"/>
        </w:trPr>
        <w:tc>
          <w:tcPr>
            <w:tcW w:w="763" w:type="dxa"/>
            <w:vMerge w:val="continue"/>
            <w:tcBorders>
              <w:top w:val="nil"/>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1494"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color w:val="000000"/>
                <w:kern w:val="0"/>
                <w:sz w:val="24"/>
                <w:szCs w:val="24"/>
              </w:rPr>
            </w:pP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6个内置Modem（内置6个5G模块），支持ISX专利传输技术</w:t>
            </w:r>
          </w:p>
        </w:tc>
        <w:tc>
          <w:tcPr>
            <w:tcW w:w="94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76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113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r>
      <w:tr>
        <w:tblPrEx>
          <w:tblCellMar>
            <w:top w:w="0" w:type="dxa"/>
            <w:left w:w="108" w:type="dxa"/>
            <w:bottom w:w="0" w:type="dxa"/>
            <w:right w:w="108" w:type="dxa"/>
          </w:tblCellMar>
        </w:tblPrEx>
        <w:trPr>
          <w:trHeight w:val="850" w:hRule="atLeast"/>
          <w:jc w:val="center"/>
        </w:trPr>
        <w:tc>
          <w:tcPr>
            <w:tcW w:w="763" w:type="dxa"/>
            <w:vMerge w:val="continue"/>
            <w:tcBorders>
              <w:top w:val="nil"/>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1494"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color w:val="000000"/>
                <w:kern w:val="0"/>
                <w:sz w:val="24"/>
                <w:szCs w:val="24"/>
              </w:rPr>
            </w:pP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触屏控制，双频段Wi-Fi，可更换内置电池（续航2-3小时），内置电池支持剩余电量显示。</w:t>
            </w:r>
          </w:p>
        </w:tc>
        <w:tc>
          <w:tcPr>
            <w:tcW w:w="94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76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113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r>
      <w:tr>
        <w:tblPrEx>
          <w:tblCellMar>
            <w:top w:w="0" w:type="dxa"/>
            <w:left w:w="108" w:type="dxa"/>
            <w:bottom w:w="0" w:type="dxa"/>
            <w:right w:w="108" w:type="dxa"/>
          </w:tblCellMar>
        </w:tblPrEx>
        <w:trPr>
          <w:trHeight w:val="519" w:hRule="atLeast"/>
          <w:jc w:val="center"/>
        </w:trPr>
        <w:tc>
          <w:tcPr>
            <w:tcW w:w="763" w:type="dxa"/>
            <w:vMerge w:val="continue"/>
            <w:tcBorders>
              <w:top w:val="nil"/>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1494"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color w:val="000000"/>
                <w:kern w:val="0"/>
                <w:sz w:val="24"/>
                <w:szCs w:val="24"/>
              </w:rPr>
            </w:pP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编码带宽最大100M</w:t>
            </w:r>
          </w:p>
        </w:tc>
        <w:tc>
          <w:tcPr>
            <w:tcW w:w="94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76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113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r>
      <w:tr>
        <w:tblPrEx>
          <w:tblCellMar>
            <w:top w:w="0" w:type="dxa"/>
            <w:left w:w="108" w:type="dxa"/>
            <w:bottom w:w="0" w:type="dxa"/>
            <w:right w:w="108" w:type="dxa"/>
          </w:tblCellMar>
        </w:tblPrEx>
        <w:trPr>
          <w:trHeight w:val="412" w:hRule="atLeast"/>
          <w:jc w:val="center"/>
        </w:trPr>
        <w:tc>
          <w:tcPr>
            <w:tcW w:w="763" w:type="dxa"/>
            <w:vMerge w:val="continue"/>
            <w:tcBorders>
              <w:top w:val="nil"/>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1494"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color w:val="000000"/>
                <w:kern w:val="0"/>
                <w:sz w:val="24"/>
                <w:szCs w:val="24"/>
              </w:rPr>
            </w:pP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 xml:space="preserve">支持全球跨国低延迟传输， 最低传输延迟0.3s                                      </w:t>
            </w:r>
          </w:p>
        </w:tc>
        <w:tc>
          <w:tcPr>
            <w:tcW w:w="94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76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113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r>
      <w:tr>
        <w:tblPrEx>
          <w:tblCellMar>
            <w:top w:w="0" w:type="dxa"/>
            <w:left w:w="108" w:type="dxa"/>
            <w:bottom w:w="0" w:type="dxa"/>
            <w:right w:w="108" w:type="dxa"/>
          </w:tblCellMar>
        </w:tblPrEx>
        <w:trPr>
          <w:trHeight w:val="960" w:hRule="atLeast"/>
          <w:jc w:val="center"/>
        </w:trPr>
        <w:tc>
          <w:tcPr>
            <w:tcW w:w="763" w:type="dxa"/>
            <w:vMerge w:val="continue"/>
            <w:tcBorders>
              <w:top w:val="nil"/>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1494"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color w:val="000000"/>
                <w:kern w:val="0"/>
                <w:sz w:val="24"/>
                <w:szCs w:val="24"/>
              </w:rPr>
            </w:pP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支持多网聚合Router功能，最高带宽可达200M，提供公网固定IP，做端口映射</w:t>
            </w:r>
          </w:p>
        </w:tc>
        <w:tc>
          <w:tcPr>
            <w:tcW w:w="94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76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113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r>
      <w:tr>
        <w:tblPrEx>
          <w:tblCellMar>
            <w:top w:w="0" w:type="dxa"/>
            <w:left w:w="108" w:type="dxa"/>
            <w:bottom w:w="0" w:type="dxa"/>
            <w:right w:w="108" w:type="dxa"/>
          </w:tblCellMar>
        </w:tblPrEx>
        <w:trPr>
          <w:trHeight w:val="653" w:hRule="atLeast"/>
          <w:jc w:val="center"/>
        </w:trPr>
        <w:tc>
          <w:tcPr>
            <w:tcW w:w="763" w:type="dxa"/>
            <w:vMerge w:val="restart"/>
            <w:tcBorders>
              <w:top w:val="nil"/>
              <w:left w:val="single" w:color="auto" w:sz="4" w:space="0"/>
              <w:right w:val="single" w:color="auto" w:sz="4" w:space="0"/>
            </w:tcBorders>
            <w:noWrap/>
            <w:vAlign w:val="center"/>
          </w:tcPr>
          <w:p>
            <w:pPr>
              <w:jc w:val="center"/>
              <w:textAlignment w:val="auto"/>
              <w:rPr>
                <w:rFonts w:hint="eastAsia" w:ascii="宋体" w:hAnsi="宋体" w:cs="宋体"/>
                <w:kern w:val="0"/>
                <w:sz w:val="24"/>
                <w:szCs w:val="24"/>
              </w:rPr>
            </w:pPr>
            <w:r>
              <w:rPr>
                <w:rFonts w:hint="eastAsia" w:ascii="宋体" w:hAnsi="宋体" w:cs="宋体"/>
                <w:kern w:val="0"/>
                <w:sz w:val="24"/>
                <w:szCs w:val="24"/>
              </w:rPr>
              <w:t>2</w:t>
            </w:r>
          </w:p>
        </w:tc>
        <w:tc>
          <w:tcPr>
            <w:tcW w:w="1494" w:type="dxa"/>
            <w:vMerge w:val="restart"/>
            <w:tcBorders>
              <w:top w:val="nil"/>
              <w:left w:val="nil"/>
              <w:right w:val="single" w:color="auto" w:sz="4" w:space="0"/>
            </w:tcBorders>
            <w:shd w:val="clear" w:color="000000" w:fill="FFFFFF"/>
            <w:vAlign w:val="center"/>
          </w:tcPr>
          <w:p>
            <w:pPr>
              <w:jc w:val="center"/>
              <w:textAlignment w:val="auto"/>
              <w:rPr>
                <w:rFonts w:hint="eastAsia" w:ascii="宋体" w:hAnsi="宋体" w:cs="宋体"/>
                <w:b/>
                <w:bCs/>
                <w:color w:val="000000"/>
                <w:kern w:val="0"/>
                <w:sz w:val="24"/>
                <w:szCs w:val="24"/>
              </w:rPr>
            </w:pPr>
            <w:r>
              <w:rPr>
                <w:rFonts w:hint="eastAsia" w:ascii="宋体" w:hAnsi="宋体" w:cs="宋体"/>
                <w:b/>
                <w:bCs/>
                <w:color w:val="000000"/>
                <w:kern w:val="0"/>
                <w:sz w:val="24"/>
                <w:szCs w:val="24"/>
              </w:rPr>
              <w:t xml:space="preserve">解码服务系统                          </w:t>
            </w: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 xml:space="preserve">TVU  VS3500 </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信号解码服务系统</w:t>
            </w:r>
          </w:p>
        </w:tc>
        <w:tc>
          <w:tcPr>
            <w:tcW w:w="942" w:type="dxa"/>
            <w:vMerge w:val="restart"/>
            <w:tcBorders>
              <w:top w:val="nil"/>
              <w:left w:val="single" w:color="auto" w:sz="4" w:space="0"/>
              <w:right w:val="single" w:color="auto" w:sz="4" w:space="0"/>
            </w:tcBorders>
            <w:shd w:val="clear" w:color="000000" w:fill="FFFFFF"/>
            <w:noWrap/>
            <w:vAlign w:val="center"/>
          </w:tcPr>
          <w:p>
            <w:pPr>
              <w:jc w:val="center"/>
              <w:textAlignment w:val="auto"/>
              <w:rPr>
                <w:rFonts w:hint="eastAsia" w:ascii="宋体" w:hAnsi="宋体" w:cs="宋体"/>
                <w:kern w:val="0"/>
                <w:sz w:val="24"/>
                <w:szCs w:val="24"/>
              </w:rPr>
            </w:pPr>
          </w:p>
        </w:tc>
        <w:tc>
          <w:tcPr>
            <w:tcW w:w="762" w:type="dxa"/>
            <w:vMerge w:val="restart"/>
            <w:tcBorders>
              <w:top w:val="nil"/>
              <w:left w:val="single" w:color="auto" w:sz="4" w:space="0"/>
              <w:right w:val="single" w:color="auto" w:sz="4" w:space="0"/>
            </w:tcBorders>
            <w:shd w:val="clear" w:color="000000" w:fill="FFFFFF"/>
            <w:noWrap/>
            <w:vAlign w:val="center"/>
          </w:tcPr>
          <w:p>
            <w:pPr>
              <w:jc w:val="center"/>
              <w:textAlignment w:val="auto"/>
              <w:rPr>
                <w:rFonts w:hint="eastAsia" w:ascii="宋体" w:hAnsi="宋体" w:cs="宋体"/>
                <w:kern w:val="0"/>
                <w:sz w:val="24"/>
                <w:szCs w:val="24"/>
              </w:rPr>
            </w:pPr>
          </w:p>
        </w:tc>
        <w:tc>
          <w:tcPr>
            <w:tcW w:w="1132" w:type="dxa"/>
            <w:vMerge w:val="restart"/>
            <w:tcBorders>
              <w:top w:val="nil"/>
              <w:left w:val="single" w:color="auto" w:sz="4" w:space="0"/>
              <w:right w:val="single" w:color="auto" w:sz="4" w:space="0"/>
            </w:tcBorders>
            <w:shd w:val="clear" w:color="000000" w:fill="FFFFFF"/>
            <w:noWrap/>
            <w:vAlign w:val="center"/>
          </w:tcPr>
          <w:p>
            <w:pPr>
              <w:jc w:val="center"/>
              <w:textAlignment w:val="auto"/>
              <w:rPr>
                <w:rFonts w:hint="eastAsia" w:ascii="宋体" w:hAnsi="宋体" w:cs="宋体"/>
                <w:kern w:val="0"/>
                <w:sz w:val="24"/>
                <w:szCs w:val="24"/>
              </w:rPr>
            </w:pPr>
          </w:p>
        </w:tc>
      </w:tr>
      <w:tr>
        <w:tblPrEx>
          <w:tblCellMar>
            <w:top w:w="0" w:type="dxa"/>
            <w:left w:w="108" w:type="dxa"/>
            <w:bottom w:w="0" w:type="dxa"/>
            <w:right w:w="108" w:type="dxa"/>
          </w:tblCellMar>
        </w:tblPrEx>
        <w:trPr>
          <w:trHeight w:val="587" w:hRule="atLeast"/>
          <w:jc w:val="center"/>
        </w:trPr>
        <w:tc>
          <w:tcPr>
            <w:tcW w:w="763" w:type="dxa"/>
            <w:vMerge w:val="continue"/>
            <w:tcBorders>
              <w:left w:val="single" w:color="auto" w:sz="4" w:space="0"/>
              <w:right w:val="single" w:color="auto" w:sz="4" w:space="0"/>
            </w:tcBorders>
            <w:vAlign w:val="center"/>
          </w:tcPr>
          <w:p>
            <w:pPr>
              <w:jc w:val="left"/>
              <w:textAlignment w:val="auto"/>
              <w:rPr>
                <w:rFonts w:hint="eastAsia" w:ascii="宋体" w:hAnsi="宋体" w:cs="宋体"/>
                <w:kern w:val="0"/>
                <w:sz w:val="24"/>
                <w:szCs w:val="24"/>
              </w:rPr>
            </w:pPr>
          </w:p>
        </w:tc>
        <w:tc>
          <w:tcPr>
            <w:tcW w:w="1494" w:type="dxa"/>
            <w:vMerge w:val="continue"/>
            <w:tcBorders>
              <w:left w:val="nil"/>
              <w:right w:val="single" w:color="auto" w:sz="4" w:space="0"/>
            </w:tcBorders>
            <w:vAlign w:val="center"/>
          </w:tcPr>
          <w:p>
            <w:pPr>
              <w:jc w:val="left"/>
              <w:textAlignment w:val="auto"/>
              <w:rPr>
                <w:rFonts w:hint="eastAsia" w:ascii="宋体" w:hAnsi="宋体" w:cs="宋体"/>
                <w:b/>
                <w:bCs/>
                <w:color w:val="000000"/>
                <w:kern w:val="0"/>
                <w:sz w:val="24"/>
                <w:szCs w:val="24"/>
              </w:rPr>
            </w:pP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支持 IP拉流 转码IP推流。</w:t>
            </w:r>
          </w:p>
        </w:tc>
        <w:tc>
          <w:tcPr>
            <w:tcW w:w="942" w:type="dxa"/>
            <w:vMerge w:val="continue"/>
            <w:tcBorders>
              <w:left w:val="single" w:color="auto" w:sz="4" w:space="0"/>
              <w:right w:val="single" w:color="auto" w:sz="4" w:space="0"/>
            </w:tcBorders>
            <w:vAlign w:val="center"/>
          </w:tcPr>
          <w:p>
            <w:pPr>
              <w:jc w:val="left"/>
              <w:textAlignment w:val="auto"/>
              <w:rPr>
                <w:rFonts w:hint="eastAsia" w:ascii="宋体" w:hAnsi="宋体" w:cs="宋体"/>
                <w:kern w:val="0"/>
                <w:sz w:val="24"/>
                <w:szCs w:val="24"/>
              </w:rPr>
            </w:pPr>
          </w:p>
        </w:tc>
        <w:tc>
          <w:tcPr>
            <w:tcW w:w="762" w:type="dxa"/>
            <w:vMerge w:val="continue"/>
            <w:tcBorders>
              <w:left w:val="single" w:color="auto" w:sz="4" w:space="0"/>
              <w:right w:val="single" w:color="auto" w:sz="4" w:space="0"/>
            </w:tcBorders>
            <w:vAlign w:val="center"/>
          </w:tcPr>
          <w:p>
            <w:pPr>
              <w:jc w:val="left"/>
              <w:textAlignment w:val="auto"/>
              <w:rPr>
                <w:rFonts w:hint="eastAsia" w:ascii="宋体" w:hAnsi="宋体" w:cs="宋体"/>
                <w:kern w:val="0"/>
                <w:sz w:val="24"/>
                <w:szCs w:val="24"/>
              </w:rPr>
            </w:pPr>
          </w:p>
        </w:tc>
        <w:tc>
          <w:tcPr>
            <w:tcW w:w="1132" w:type="dxa"/>
            <w:vMerge w:val="continue"/>
            <w:tcBorders>
              <w:left w:val="single" w:color="auto" w:sz="4" w:space="0"/>
              <w:right w:val="single" w:color="auto" w:sz="4" w:space="0"/>
            </w:tcBorders>
            <w:vAlign w:val="center"/>
          </w:tcPr>
          <w:p>
            <w:pPr>
              <w:jc w:val="left"/>
              <w:textAlignment w:val="auto"/>
              <w:rPr>
                <w:rFonts w:hint="eastAsia" w:ascii="宋体" w:hAnsi="宋体" w:cs="宋体"/>
                <w:kern w:val="0"/>
                <w:sz w:val="24"/>
                <w:szCs w:val="24"/>
              </w:rPr>
            </w:pPr>
          </w:p>
        </w:tc>
      </w:tr>
      <w:tr>
        <w:tblPrEx>
          <w:tblCellMar>
            <w:top w:w="0" w:type="dxa"/>
            <w:left w:w="108" w:type="dxa"/>
            <w:bottom w:w="0" w:type="dxa"/>
            <w:right w:w="108" w:type="dxa"/>
          </w:tblCellMar>
        </w:tblPrEx>
        <w:trPr>
          <w:trHeight w:val="960" w:hRule="atLeast"/>
          <w:jc w:val="center"/>
        </w:trPr>
        <w:tc>
          <w:tcPr>
            <w:tcW w:w="763" w:type="dxa"/>
            <w:vMerge w:val="continue"/>
            <w:tcBorders>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1494" w:type="dxa"/>
            <w:vMerge w:val="continue"/>
            <w:tcBorders>
              <w:left w:val="nil"/>
              <w:bottom w:val="single" w:color="auto" w:sz="4" w:space="0"/>
              <w:right w:val="single" w:color="auto" w:sz="4" w:space="0"/>
            </w:tcBorders>
            <w:vAlign w:val="center"/>
          </w:tcPr>
          <w:p>
            <w:pPr>
              <w:jc w:val="left"/>
              <w:textAlignment w:val="auto"/>
              <w:rPr>
                <w:rFonts w:hint="eastAsia" w:ascii="宋体" w:hAnsi="宋体" w:cs="宋体"/>
                <w:b/>
                <w:bCs/>
                <w:color w:val="000000"/>
                <w:kern w:val="0"/>
                <w:sz w:val="24"/>
                <w:szCs w:val="24"/>
              </w:rPr>
            </w:pP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原有的手机授权迁移到新的服务系统上</w:t>
            </w:r>
          </w:p>
        </w:tc>
        <w:tc>
          <w:tcPr>
            <w:tcW w:w="942" w:type="dxa"/>
            <w:vMerge w:val="continue"/>
            <w:tcBorders>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762" w:type="dxa"/>
            <w:vMerge w:val="continue"/>
            <w:tcBorders>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1132" w:type="dxa"/>
            <w:vMerge w:val="continue"/>
            <w:tcBorders>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r>
      <w:tr>
        <w:tblPrEx>
          <w:tblCellMar>
            <w:top w:w="0" w:type="dxa"/>
            <w:left w:w="108" w:type="dxa"/>
            <w:bottom w:w="0" w:type="dxa"/>
            <w:right w:w="108" w:type="dxa"/>
          </w:tblCellMar>
        </w:tblPrEx>
        <w:trPr>
          <w:trHeight w:val="1080" w:hRule="atLeast"/>
          <w:jc w:val="center"/>
        </w:trPr>
        <w:tc>
          <w:tcPr>
            <w:tcW w:w="7511" w:type="dxa"/>
            <w:gridSpan w:val="5"/>
            <w:tcBorders>
              <w:top w:val="single" w:color="auto" w:sz="4" w:space="0"/>
              <w:left w:val="single" w:color="auto" w:sz="4" w:space="0"/>
              <w:bottom w:val="single" w:color="auto" w:sz="4" w:space="0"/>
              <w:right w:val="single" w:color="000000" w:sz="4" w:space="0"/>
            </w:tcBorders>
            <w:vAlign w:val="center"/>
          </w:tcPr>
          <w:p>
            <w:pPr>
              <w:jc w:val="right"/>
              <w:textAlignment w:val="auto"/>
              <w:rPr>
                <w:rFonts w:hint="eastAsia" w:ascii="宋体" w:hAnsi="宋体" w:cs="宋体"/>
                <w:b/>
                <w:bCs/>
                <w:kern w:val="0"/>
                <w:sz w:val="24"/>
                <w:szCs w:val="24"/>
              </w:rPr>
            </w:pPr>
            <w:r>
              <w:rPr>
                <w:rFonts w:hint="eastAsia" w:ascii="宋体" w:hAnsi="宋体" w:cs="宋体"/>
                <w:b/>
                <w:bCs/>
                <w:kern w:val="0"/>
                <w:sz w:val="24"/>
                <w:szCs w:val="24"/>
              </w:rPr>
              <w:t>新购设备原价</w:t>
            </w:r>
          </w:p>
        </w:tc>
        <w:tc>
          <w:tcPr>
            <w:tcW w:w="1132" w:type="dxa"/>
            <w:tcBorders>
              <w:top w:val="nil"/>
              <w:left w:val="nil"/>
              <w:bottom w:val="single" w:color="auto" w:sz="4" w:space="0"/>
              <w:right w:val="single" w:color="auto" w:sz="4" w:space="0"/>
            </w:tcBorders>
            <w:noWrap/>
            <w:vAlign w:val="center"/>
          </w:tcPr>
          <w:p>
            <w:pPr>
              <w:textAlignment w:val="auto"/>
              <w:rPr>
                <w:rFonts w:hint="eastAsia" w:ascii="宋体" w:hAnsi="宋体" w:cs="宋体"/>
                <w:b/>
                <w:bCs/>
                <w:kern w:val="0"/>
                <w:sz w:val="24"/>
                <w:szCs w:val="24"/>
              </w:rPr>
            </w:pPr>
          </w:p>
        </w:tc>
      </w:tr>
    </w:tbl>
    <w:p>
      <w:pPr>
        <w:spacing w:line="360" w:lineRule="auto"/>
        <w:ind w:firstLine="241" w:firstLineChars="100"/>
        <w:rPr>
          <w:rStyle w:val="9"/>
          <w:rFonts w:hint="eastAsia" w:ascii="宋体" w:hAnsi="宋体"/>
          <w:b/>
          <w:bCs/>
          <w:kern w:val="0"/>
          <w:sz w:val="24"/>
          <w:szCs w:val="24"/>
        </w:rPr>
      </w:pPr>
    </w:p>
    <w:p>
      <w:pPr>
        <w:spacing w:line="360" w:lineRule="auto"/>
        <w:ind w:firstLine="241" w:firstLineChars="100"/>
        <w:rPr>
          <w:rStyle w:val="9"/>
          <w:rFonts w:hint="eastAsia" w:ascii="宋体" w:hAnsi="宋体"/>
          <w:b/>
          <w:bCs/>
          <w:kern w:val="0"/>
          <w:sz w:val="24"/>
          <w:szCs w:val="24"/>
        </w:rPr>
      </w:pPr>
    </w:p>
    <w:p>
      <w:pPr>
        <w:spacing w:line="360" w:lineRule="auto"/>
        <w:ind w:firstLine="241" w:firstLineChars="100"/>
        <w:rPr>
          <w:rStyle w:val="9"/>
          <w:rFonts w:hint="eastAsia" w:ascii="宋体" w:hAnsi="宋体"/>
          <w:b/>
          <w:bCs/>
          <w:kern w:val="0"/>
          <w:sz w:val="24"/>
          <w:szCs w:val="24"/>
        </w:rPr>
      </w:pPr>
    </w:p>
    <w:p>
      <w:pPr>
        <w:spacing w:line="360" w:lineRule="auto"/>
        <w:ind w:firstLine="241" w:firstLineChars="100"/>
        <w:rPr>
          <w:rStyle w:val="9"/>
          <w:rFonts w:hint="eastAsia" w:ascii="宋体" w:hAnsi="宋体"/>
          <w:b/>
          <w:bCs/>
          <w:kern w:val="0"/>
          <w:sz w:val="24"/>
          <w:szCs w:val="24"/>
        </w:rPr>
      </w:pPr>
      <w:r>
        <w:rPr>
          <w:rStyle w:val="9"/>
          <w:rFonts w:hint="eastAsia" w:ascii="宋体" w:hAnsi="宋体"/>
          <w:b/>
          <w:bCs/>
          <w:kern w:val="0"/>
          <w:sz w:val="24"/>
          <w:szCs w:val="24"/>
        </w:rPr>
        <w:t>甲方向乙方置换产品的</w:t>
      </w:r>
      <w:r>
        <w:rPr>
          <w:rStyle w:val="9"/>
          <w:rFonts w:hint="eastAsia" w:ascii="宋体" w:hAnsi="宋体"/>
          <w:b/>
          <w:sz w:val="24"/>
          <w:szCs w:val="24"/>
        </w:rPr>
        <w:t>设备名称</w:t>
      </w:r>
      <w:r>
        <w:rPr>
          <w:rStyle w:val="9"/>
          <w:rFonts w:hint="eastAsia" w:ascii="宋体" w:hAnsi="宋体"/>
          <w:b/>
          <w:bCs/>
          <w:kern w:val="0"/>
          <w:sz w:val="24"/>
          <w:szCs w:val="24"/>
        </w:rPr>
        <w:t>、</w:t>
      </w:r>
      <w:r>
        <w:rPr>
          <w:rStyle w:val="9"/>
          <w:rFonts w:hint="eastAsia" w:ascii="宋体" w:hAnsi="宋体"/>
          <w:b/>
          <w:sz w:val="24"/>
          <w:szCs w:val="24"/>
        </w:rPr>
        <w:t>品牌、型号</w:t>
      </w:r>
      <w:r>
        <w:rPr>
          <w:rStyle w:val="9"/>
          <w:rFonts w:hint="eastAsia" w:ascii="宋体" w:hAnsi="宋体"/>
          <w:b/>
          <w:bCs/>
          <w:kern w:val="0"/>
          <w:sz w:val="24"/>
          <w:szCs w:val="24"/>
        </w:rPr>
        <w:t>、数量、价格</w:t>
      </w:r>
    </w:p>
    <w:tbl>
      <w:tblPr>
        <w:tblStyle w:val="6"/>
        <w:tblW w:w="8643" w:type="dxa"/>
        <w:jc w:val="center"/>
        <w:tblLayout w:type="autofit"/>
        <w:tblCellMar>
          <w:top w:w="0" w:type="dxa"/>
          <w:left w:w="108" w:type="dxa"/>
          <w:bottom w:w="0" w:type="dxa"/>
          <w:right w:w="108" w:type="dxa"/>
        </w:tblCellMar>
      </w:tblPr>
      <w:tblGrid>
        <w:gridCol w:w="763"/>
        <w:gridCol w:w="1494"/>
        <w:gridCol w:w="3550"/>
        <w:gridCol w:w="942"/>
        <w:gridCol w:w="762"/>
        <w:gridCol w:w="1132"/>
      </w:tblGrid>
      <w:tr>
        <w:tblPrEx>
          <w:tblCellMar>
            <w:top w:w="0" w:type="dxa"/>
            <w:left w:w="108" w:type="dxa"/>
            <w:bottom w:w="0" w:type="dxa"/>
            <w:right w:w="108" w:type="dxa"/>
          </w:tblCellMar>
        </w:tblPrEx>
        <w:trPr>
          <w:trHeight w:val="1161" w:hRule="atLeast"/>
          <w:jc w:val="center"/>
        </w:trPr>
        <w:tc>
          <w:tcPr>
            <w:tcW w:w="763" w:type="dxa"/>
            <w:tcBorders>
              <w:top w:val="single" w:color="auto" w:sz="4" w:space="0"/>
              <w:left w:val="single" w:color="auto" w:sz="4" w:space="0"/>
              <w:bottom w:val="single" w:color="auto" w:sz="4" w:space="0"/>
              <w:right w:val="single" w:color="auto" w:sz="4" w:space="0"/>
            </w:tcBorders>
            <w:noWrap/>
            <w:vAlign w:val="center"/>
          </w:tcPr>
          <w:p>
            <w:pPr>
              <w:jc w:val="center"/>
              <w:textAlignment w:val="auto"/>
              <w:rPr>
                <w:rFonts w:hint="eastAsia" w:ascii="宋体" w:hAnsi="宋体" w:cs="宋体"/>
                <w:b/>
                <w:bCs/>
                <w:kern w:val="0"/>
                <w:sz w:val="24"/>
                <w:szCs w:val="24"/>
              </w:rPr>
            </w:pPr>
            <w:r>
              <w:rPr>
                <w:rFonts w:hint="eastAsia" w:ascii="宋体" w:hAnsi="宋体" w:cs="宋体"/>
                <w:b/>
                <w:bCs/>
                <w:kern w:val="0"/>
                <w:sz w:val="24"/>
                <w:szCs w:val="24"/>
              </w:rPr>
              <w:t>序号</w:t>
            </w:r>
          </w:p>
        </w:tc>
        <w:tc>
          <w:tcPr>
            <w:tcW w:w="1494" w:type="dxa"/>
            <w:tcBorders>
              <w:top w:val="single" w:color="auto" w:sz="4" w:space="0"/>
              <w:left w:val="nil"/>
              <w:bottom w:val="single" w:color="auto" w:sz="4" w:space="0"/>
              <w:right w:val="single" w:color="auto" w:sz="4" w:space="0"/>
            </w:tcBorders>
            <w:noWrap/>
            <w:vAlign w:val="center"/>
          </w:tcPr>
          <w:p>
            <w:pPr>
              <w:jc w:val="center"/>
              <w:textAlignment w:val="auto"/>
              <w:rPr>
                <w:rFonts w:hint="eastAsia" w:ascii="宋体" w:hAnsi="宋体" w:cs="宋体"/>
                <w:b/>
                <w:bCs/>
                <w:kern w:val="0"/>
                <w:sz w:val="24"/>
                <w:szCs w:val="24"/>
              </w:rPr>
            </w:pPr>
            <w:r>
              <w:rPr>
                <w:rFonts w:hint="eastAsia" w:ascii="宋体" w:hAnsi="宋体" w:cs="宋体"/>
                <w:b/>
                <w:bCs/>
                <w:kern w:val="0"/>
                <w:sz w:val="24"/>
                <w:szCs w:val="24"/>
              </w:rPr>
              <w:t>设备名称</w:t>
            </w:r>
          </w:p>
        </w:tc>
        <w:tc>
          <w:tcPr>
            <w:tcW w:w="3550" w:type="dxa"/>
            <w:tcBorders>
              <w:top w:val="single" w:color="auto" w:sz="4" w:space="0"/>
              <w:left w:val="nil"/>
              <w:bottom w:val="single" w:color="auto" w:sz="4" w:space="0"/>
              <w:right w:val="single" w:color="auto" w:sz="4" w:space="0"/>
            </w:tcBorders>
            <w:noWrap/>
            <w:vAlign w:val="center"/>
          </w:tcPr>
          <w:p>
            <w:pPr>
              <w:jc w:val="center"/>
              <w:textAlignment w:val="auto"/>
              <w:rPr>
                <w:rFonts w:hint="eastAsia" w:ascii="宋体" w:hAnsi="宋体" w:cs="宋体"/>
                <w:b/>
                <w:bCs/>
                <w:kern w:val="0"/>
                <w:sz w:val="24"/>
                <w:szCs w:val="24"/>
              </w:rPr>
            </w:pPr>
            <w:r>
              <w:rPr>
                <w:rFonts w:hint="eastAsia" w:ascii="宋体" w:hAnsi="宋体" w:cs="宋体"/>
                <w:b/>
                <w:bCs/>
                <w:kern w:val="0"/>
                <w:sz w:val="24"/>
                <w:szCs w:val="24"/>
              </w:rPr>
              <w:t>品牌型号及规格配置</w:t>
            </w:r>
          </w:p>
        </w:tc>
        <w:tc>
          <w:tcPr>
            <w:tcW w:w="942" w:type="dxa"/>
            <w:tcBorders>
              <w:top w:val="single" w:color="auto" w:sz="4" w:space="0"/>
              <w:left w:val="nil"/>
              <w:bottom w:val="single" w:color="auto" w:sz="4" w:space="0"/>
              <w:right w:val="single" w:color="auto" w:sz="4" w:space="0"/>
            </w:tcBorders>
            <w:noWrap/>
            <w:vAlign w:val="center"/>
          </w:tcPr>
          <w:p>
            <w:pPr>
              <w:jc w:val="center"/>
              <w:textAlignment w:val="auto"/>
              <w:rPr>
                <w:rFonts w:hint="eastAsia" w:ascii="宋体" w:hAnsi="宋体" w:cs="宋体"/>
                <w:b/>
                <w:bCs/>
                <w:kern w:val="0"/>
                <w:sz w:val="24"/>
                <w:szCs w:val="24"/>
              </w:rPr>
            </w:pPr>
            <w:r>
              <w:rPr>
                <w:rFonts w:hint="eastAsia" w:ascii="宋体" w:hAnsi="宋体" w:cs="宋体"/>
                <w:b/>
                <w:bCs/>
                <w:kern w:val="0"/>
                <w:sz w:val="24"/>
                <w:szCs w:val="24"/>
              </w:rPr>
              <w:t>置换单价（元）</w:t>
            </w:r>
          </w:p>
        </w:tc>
        <w:tc>
          <w:tcPr>
            <w:tcW w:w="762" w:type="dxa"/>
            <w:tcBorders>
              <w:top w:val="single" w:color="auto" w:sz="4" w:space="0"/>
              <w:left w:val="nil"/>
              <w:bottom w:val="single" w:color="auto" w:sz="4" w:space="0"/>
              <w:right w:val="single" w:color="auto" w:sz="4" w:space="0"/>
            </w:tcBorders>
            <w:noWrap/>
            <w:vAlign w:val="center"/>
          </w:tcPr>
          <w:p>
            <w:pPr>
              <w:jc w:val="center"/>
              <w:textAlignment w:val="auto"/>
              <w:rPr>
                <w:rFonts w:hint="eastAsia" w:ascii="宋体" w:hAnsi="宋体" w:cs="宋体"/>
                <w:b/>
                <w:bCs/>
                <w:kern w:val="0"/>
                <w:sz w:val="24"/>
                <w:szCs w:val="24"/>
              </w:rPr>
            </w:pPr>
            <w:r>
              <w:rPr>
                <w:rFonts w:hint="eastAsia" w:ascii="宋体" w:hAnsi="宋体" w:cs="宋体"/>
                <w:b/>
                <w:bCs/>
                <w:kern w:val="0"/>
                <w:sz w:val="24"/>
                <w:szCs w:val="24"/>
              </w:rPr>
              <w:t>数量</w:t>
            </w:r>
          </w:p>
        </w:tc>
        <w:tc>
          <w:tcPr>
            <w:tcW w:w="1132" w:type="dxa"/>
            <w:tcBorders>
              <w:top w:val="single" w:color="auto" w:sz="4" w:space="0"/>
              <w:left w:val="nil"/>
              <w:bottom w:val="single" w:color="auto" w:sz="4" w:space="0"/>
              <w:right w:val="single" w:color="auto" w:sz="4" w:space="0"/>
            </w:tcBorders>
            <w:noWrap/>
            <w:vAlign w:val="center"/>
          </w:tcPr>
          <w:p>
            <w:pPr>
              <w:jc w:val="center"/>
              <w:textAlignment w:val="auto"/>
              <w:rPr>
                <w:rFonts w:hint="eastAsia" w:ascii="宋体" w:hAnsi="宋体" w:cs="宋体"/>
                <w:b/>
                <w:bCs/>
                <w:kern w:val="0"/>
                <w:sz w:val="24"/>
                <w:szCs w:val="24"/>
              </w:rPr>
            </w:pPr>
            <w:r>
              <w:rPr>
                <w:rFonts w:hint="eastAsia" w:ascii="宋体" w:hAnsi="宋体" w:cs="宋体"/>
                <w:b/>
                <w:bCs/>
                <w:kern w:val="0"/>
                <w:sz w:val="24"/>
                <w:szCs w:val="24"/>
              </w:rPr>
              <w:t>总价（元）</w:t>
            </w:r>
          </w:p>
        </w:tc>
      </w:tr>
      <w:tr>
        <w:tblPrEx>
          <w:tblCellMar>
            <w:top w:w="0" w:type="dxa"/>
            <w:left w:w="108" w:type="dxa"/>
            <w:bottom w:w="0" w:type="dxa"/>
            <w:right w:w="108" w:type="dxa"/>
          </w:tblCellMar>
        </w:tblPrEx>
        <w:trPr>
          <w:trHeight w:val="932" w:hRule="atLeast"/>
          <w:jc w:val="center"/>
        </w:trPr>
        <w:tc>
          <w:tcPr>
            <w:tcW w:w="763" w:type="dxa"/>
            <w:vMerge w:val="restart"/>
            <w:tcBorders>
              <w:top w:val="nil"/>
              <w:left w:val="single" w:color="auto" w:sz="4" w:space="0"/>
              <w:bottom w:val="single" w:color="000000" w:sz="4" w:space="0"/>
              <w:right w:val="single" w:color="auto" w:sz="4" w:space="0"/>
            </w:tcBorders>
            <w:noWrap/>
            <w:vAlign w:val="center"/>
          </w:tcPr>
          <w:p>
            <w:pPr>
              <w:jc w:val="center"/>
              <w:textAlignment w:val="auto"/>
              <w:rPr>
                <w:rFonts w:hint="eastAsia" w:ascii="宋体" w:hAnsi="宋体" w:cs="宋体"/>
                <w:kern w:val="0"/>
                <w:sz w:val="24"/>
                <w:szCs w:val="24"/>
              </w:rPr>
            </w:pPr>
            <w:r>
              <w:rPr>
                <w:rFonts w:hint="eastAsia" w:ascii="宋体" w:hAnsi="宋体" w:cs="宋体"/>
                <w:kern w:val="0"/>
                <w:sz w:val="24"/>
                <w:szCs w:val="24"/>
              </w:rPr>
              <w:t>1</w:t>
            </w:r>
          </w:p>
        </w:tc>
        <w:tc>
          <w:tcPr>
            <w:tcW w:w="1494"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textAlignment w:val="auto"/>
              <w:rPr>
                <w:rFonts w:hint="eastAsia" w:ascii="宋体" w:hAnsi="宋体" w:cs="宋体"/>
                <w:b/>
                <w:bCs/>
                <w:color w:val="000000"/>
                <w:kern w:val="0"/>
                <w:sz w:val="24"/>
                <w:szCs w:val="24"/>
              </w:rPr>
            </w:pPr>
            <w:r>
              <w:rPr>
                <w:rFonts w:hint="eastAsia" w:ascii="宋体" w:hAnsi="宋体" w:cs="宋体"/>
                <w:b/>
                <w:bCs/>
                <w:color w:val="000000"/>
                <w:kern w:val="0"/>
                <w:sz w:val="24"/>
                <w:szCs w:val="24"/>
              </w:rPr>
              <w:t xml:space="preserve">4G </w:t>
            </w:r>
          </w:p>
          <w:p>
            <w:pPr>
              <w:jc w:val="center"/>
              <w:textAlignment w:val="auto"/>
              <w:rPr>
                <w:rFonts w:hint="eastAsia" w:ascii="宋体" w:hAnsi="宋体" w:cs="宋体"/>
                <w:b/>
                <w:bCs/>
                <w:color w:val="000000"/>
                <w:kern w:val="0"/>
                <w:sz w:val="24"/>
                <w:szCs w:val="24"/>
              </w:rPr>
            </w:pPr>
            <w:r>
              <w:rPr>
                <w:rFonts w:hint="eastAsia" w:ascii="宋体" w:hAnsi="宋体" w:cs="宋体"/>
                <w:b/>
                <w:bCs/>
                <w:color w:val="000000"/>
                <w:kern w:val="0"/>
                <w:sz w:val="24"/>
                <w:szCs w:val="24"/>
              </w:rPr>
              <w:t>发射包</w:t>
            </w: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 xml:space="preserve">TVU One ：                                                                           1路 HD SDI/HDMI输入           </w:t>
            </w:r>
          </w:p>
        </w:tc>
        <w:tc>
          <w:tcPr>
            <w:tcW w:w="94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textAlignment w:val="auto"/>
              <w:rPr>
                <w:rFonts w:hint="eastAsia" w:ascii="宋体" w:hAnsi="宋体" w:cs="宋体"/>
                <w:kern w:val="0"/>
                <w:sz w:val="24"/>
                <w:szCs w:val="24"/>
              </w:rPr>
            </w:pPr>
          </w:p>
        </w:tc>
        <w:tc>
          <w:tcPr>
            <w:tcW w:w="76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textAlignment w:val="auto"/>
              <w:rPr>
                <w:rFonts w:hint="eastAsia" w:ascii="宋体" w:hAnsi="宋体" w:cs="宋体"/>
                <w:kern w:val="0"/>
                <w:sz w:val="24"/>
                <w:szCs w:val="24"/>
              </w:rPr>
            </w:pPr>
          </w:p>
        </w:tc>
        <w:tc>
          <w:tcPr>
            <w:tcW w:w="1132" w:type="dxa"/>
            <w:vMerge w:val="restart"/>
            <w:tcBorders>
              <w:top w:val="nil"/>
              <w:left w:val="single" w:color="auto" w:sz="4" w:space="0"/>
              <w:bottom w:val="single" w:color="auto" w:sz="4" w:space="0"/>
              <w:right w:val="single" w:color="auto" w:sz="4" w:space="0"/>
            </w:tcBorders>
            <w:shd w:val="clear" w:color="000000" w:fill="FFFFFF"/>
            <w:noWrap/>
            <w:vAlign w:val="center"/>
          </w:tcPr>
          <w:p>
            <w:pPr>
              <w:jc w:val="center"/>
              <w:textAlignment w:val="auto"/>
              <w:rPr>
                <w:rFonts w:hint="eastAsia" w:ascii="宋体" w:hAnsi="宋体" w:cs="宋体"/>
                <w:kern w:val="0"/>
                <w:sz w:val="24"/>
                <w:szCs w:val="24"/>
              </w:rPr>
            </w:pPr>
          </w:p>
        </w:tc>
      </w:tr>
      <w:tr>
        <w:tblPrEx>
          <w:tblCellMar>
            <w:top w:w="0" w:type="dxa"/>
            <w:left w:w="108" w:type="dxa"/>
            <w:bottom w:w="0" w:type="dxa"/>
            <w:right w:w="108" w:type="dxa"/>
          </w:tblCellMar>
        </w:tblPrEx>
        <w:trPr>
          <w:trHeight w:val="666" w:hRule="atLeast"/>
          <w:jc w:val="center"/>
        </w:trPr>
        <w:tc>
          <w:tcPr>
            <w:tcW w:w="763" w:type="dxa"/>
            <w:vMerge w:val="continue"/>
            <w:tcBorders>
              <w:top w:val="nil"/>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1494"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color w:val="000000"/>
                <w:kern w:val="0"/>
                <w:sz w:val="24"/>
                <w:szCs w:val="24"/>
              </w:rPr>
            </w:pP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 xml:space="preserve">内置6个4G模块 </w:t>
            </w:r>
          </w:p>
        </w:tc>
        <w:tc>
          <w:tcPr>
            <w:tcW w:w="94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76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113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r>
      <w:tr>
        <w:tblPrEx>
          <w:tblCellMar>
            <w:top w:w="0" w:type="dxa"/>
            <w:left w:w="108" w:type="dxa"/>
            <w:bottom w:w="0" w:type="dxa"/>
            <w:right w:w="108" w:type="dxa"/>
          </w:tblCellMar>
        </w:tblPrEx>
        <w:trPr>
          <w:trHeight w:val="850" w:hRule="atLeast"/>
          <w:jc w:val="center"/>
        </w:trPr>
        <w:tc>
          <w:tcPr>
            <w:tcW w:w="763" w:type="dxa"/>
            <w:vMerge w:val="continue"/>
            <w:tcBorders>
              <w:top w:val="nil"/>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1494"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color w:val="000000"/>
                <w:kern w:val="0"/>
                <w:sz w:val="24"/>
                <w:szCs w:val="24"/>
              </w:rPr>
            </w:pP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触屏控制，双频段Wi-Fi，可更换内置电池（续航2小时）</w:t>
            </w:r>
          </w:p>
        </w:tc>
        <w:tc>
          <w:tcPr>
            <w:tcW w:w="94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76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113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r>
      <w:tr>
        <w:tblPrEx>
          <w:tblCellMar>
            <w:top w:w="0" w:type="dxa"/>
            <w:left w:w="108" w:type="dxa"/>
            <w:bottom w:w="0" w:type="dxa"/>
            <w:right w:w="108" w:type="dxa"/>
          </w:tblCellMar>
        </w:tblPrEx>
        <w:trPr>
          <w:trHeight w:val="519" w:hRule="atLeast"/>
          <w:jc w:val="center"/>
        </w:trPr>
        <w:tc>
          <w:tcPr>
            <w:tcW w:w="763" w:type="dxa"/>
            <w:vMerge w:val="continue"/>
            <w:tcBorders>
              <w:top w:val="nil"/>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1494"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color w:val="000000"/>
                <w:kern w:val="0"/>
                <w:sz w:val="24"/>
                <w:szCs w:val="24"/>
              </w:rPr>
            </w:pP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编码带宽最大50M</w:t>
            </w:r>
          </w:p>
        </w:tc>
        <w:tc>
          <w:tcPr>
            <w:tcW w:w="94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76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113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r>
      <w:tr>
        <w:tblPrEx>
          <w:tblCellMar>
            <w:top w:w="0" w:type="dxa"/>
            <w:left w:w="108" w:type="dxa"/>
            <w:bottom w:w="0" w:type="dxa"/>
            <w:right w:w="108" w:type="dxa"/>
          </w:tblCellMar>
        </w:tblPrEx>
        <w:trPr>
          <w:trHeight w:val="412" w:hRule="atLeast"/>
          <w:jc w:val="center"/>
        </w:trPr>
        <w:tc>
          <w:tcPr>
            <w:tcW w:w="763" w:type="dxa"/>
            <w:vMerge w:val="continue"/>
            <w:tcBorders>
              <w:top w:val="nil"/>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1494"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color w:val="000000"/>
                <w:kern w:val="0"/>
                <w:sz w:val="24"/>
                <w:szCs w:val="24"/>
              </w:rPr>
            </w:pP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 xml:space="preserve">支持全球跨国低延迟传输， 最低传输延迟0.5s                                      </w:t>
            </w:r>
          </w:p>
        </w:tc>
        <w:tc>
          <w:tcPr>
            <w:tcW w:w="94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76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c>
          <w:tcPr>
            <w:tcW w:w="1132" w:type="dxa"/>
            <w:vMerge w:val="continue"/>
            <w:tcBorders>
              <w:top w:val="nil"/>
              <w:left w:val="single" w:color="auto" w:sz="4" w:space="0"/>
              <w:bottom w:val="single" w:color="auto" w:sz="4" w:space="0"/>
              <w:right w:val="single" w:color="auto" w:sz="4" w:space="0"/>
            </w:tcBorders>
            <w:vAlign w:val="center"/>
          </w:tcPr>
          <w:p>
            <w:pPr>
              <w:jc w:val="left"/>
              <w:textAlignment w:val="auto"/>
              <w:rPr>
                <w:rFonts w:hint="eastAsia" w:ascii="宋体" w:hAnsi="宋体" w:cs="宋体"/>
                <w:b/>
                <w:bCs/>
                <w:kern w:val="0"/>
                <w:sz w:val="24"/>
                <w:szCs w:val="24"/>
              </w:rPr>
            </w:pPr>
          </w:p>
        </w:tc>
      </w:tr>
      <w:tr>
        <w:tblPrEx>
          <w:tblCellMar>
            <w:top w:w="0" w:type="dxa"/>
            <w:left w:w="108" w:type="dxa"/>
            <w:bottom w:w="0" w:type="dxa"/>
            <w:right w:w="108" w:type="dxa"/>
          </w:tblCellMar>
        </w:tblPrEx>
        <w:trPr>
          <w:trHeight w:val="653" w:hRule="atLeast"/>
          <w:jc w:val="center"/>
        </w:trPr>
        <w:tc>
          <w:tcPr>
            <w:tcW w:w="763" w:type="dxa"/>
            <w:vMerge w:val="restart"/>
            <w:tcBorders>
              <w:top w:val="nil"/>
              <w:left w:val="single" w:color="auto" w:sz="4" w:space="0"/>
              <w:right w:val="single" w:color="auto" w:sz="4" w:space="0"/>
            </w:tcBorders>
            <w:noWrap/>
            <w:vAlign w:val="center"/>
          </w:tcPr>
          <w:p>
            <w:pPr>
              <w:jc w:val="center"/>
              <w:textAlignment w:val="auto"/>
              <w:rPr>
                <w:rFonts w:hint="eastAsia" w:ascii="宋体" w:hAnsi="宋体" w:cs="宋体"/>
                <w:kern w:val="0"/>
                <w:sz w:val="24"/>
                <w:szCs w:val="24"/>
              </w:rPr>
            </w:pPr>
            <w:r>
              <w:rPr>
                <w:rFonts w:hint="eastAsia" w:ascii="宋体" w:hAnsi="宋体" w:cs="宋体"/>
                <w:kern w:val="0"/>
                <w:sz w:val="24"/>
                <w:szCs w:val="24"/>
              </w:rPr>
              <w:t>2</w:t>
            </w:r>
          </w:p>
        </w:tc>
        <w:tc>
          <w:tcPr>
            <w:tcW w:w="1494" w:type="dxa"/>
            <w:vMerge w:val="restart"/>
            <w:tcBorders>
              <w:top w:val="nil"/>
              <w:left w:val="nil"/>
              <w:right w:val="single" w:color="auto" w:sz="4" w:space="0"/>
            </w:tcBorders>
            <w:shd w:val="clear" w:color="000000" w:fill="FFFFFF"/>
            <w:vAlign w:val="center"/>
          </w:tcPr>
          <w:p>
            <w:pPr>
              <w:jc w:val="center"/>
              <w:textAlignment w:val="auto"/>
              <w:rPr>
                <w:rFonts w:hint="eastAsia" w:ascii="宋体" w:hAnsi="宋体" w:cs="宋体"/>
                <w:b/>
                <w:bCs/>
                <w:color w:val="000000"/>
                <w:kern w:val="0"/>
                <w:sz w:val="24"/>
                <w:szCs w:val="24"/>
              </w:rPr>
            </w:pPr>
            <w:r>
              <w:rPr>
                <w:rFonts w:hint="eastAsia" w:ascii="宋体" w:hAnsi="宋体" w:cs="宋体"/>
                <w:b/>
                <w:bCs/>
                <w:color w:val="000000"/>
                <w:kern w:val="0"/>
                <w:sz w:val="24"/>
                <w:szCs w:val="24"/>
              </w:rPr>
              <w:t xml:space="preserve">解码服务系统                        </w:t>
            </w: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TVU TR3700</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信号解码服务系统</w:t>
            </w:r>
          </w:p>
        </w:tc>
        <w:tc>
          <w:tcPr>
            <w:tcW w:w="942" w:type="dxa"/>
            <w:vMerge w:val="restart"/>
            <w:tcBorders>
              <w:top w:val="nil"/>
              <w:left w:val="single" w:color="auto" w:sz="4" w:space="0"/>
              <w:right w:val="single" w:color="auto" w:sz="4" w:space="0"/>
            </w:tcBorders>
            <w:shd w:val="clear" w:color="000000" w:fill="FFFFFF"/>
            <w:noWrap/>
            <w:vAlign w:val="center"/>
          </w:tcPr>
          <w:p>
            <w:pPr>
              <w:jc w:val="center"/>
              <w:textAlignment w:val="auto"/>
              <w:rPr>
                <w:rFonts w:hint="eastAsia" w:ascii="宋体" w:hAnsi="宋体" w:cs="宋体"/>
                <w:kern w:val="0"/>
                <w:sz w:val="24"/>
                <w:szCs w:val="24"/>
              </w:rPr>
            </w:pPr>
          </w:p>
        </w:tc>
        <w:tc>
          <w:tcPr>
            <w:tcW w:w="762" w:type="dxa"/>
            <w:vMerge w:val="restart"/>
            <w:tcBorders>
              <w:top w:val="nil"/>
              <w:left w:val="single" w:color="auto" w:sz="4" w:space="0"/>
              <w:right w:val="single" w:color="auto" w:sz="4" w:space="0"/>
            </w:tcBorders>
            <w:shd w:val="clear" w:color="000000" w:fill="FFFFFF"/>
            <w:noWrap/>
            <w:vAlign w:val="center"/>
          </w:tcPr>
          <w:p>
            <w:pPr>
              <w:jc w:val="center"/>
              <w:textAlignment w:val="auto"/>
              <w:rPr>
                <w:rFonts w:hint="eastAsia" w:ascii="宋体" w:hAnsi="宋体" w:cs="宋体"/>
                <w:kern w:val="0"/>
                <w:sz w:val="24"/>
                <w:szCs w:val="24"/>
              </w:rPr>
            </w:pPr>
          </w:p>
        </w:tc>
        <w:tc>
          <w:tcPr>
            <w:tcW w:w="1132" w:type="dxa"/>
            <w:vMerge w:val="restart"/>
            <w:tcBorders>
              <w:top w:val="nil"/>
              <w:left w:val="single" w:color="auto" w:sz="4" w:space="0"/>
              <w:right w:val="single" w:color="auto" w:sz="4" w:space="0"/>
            </w:tcBorders>
            <w:shd w:val="clear" w:color="000000" w:fill="FFFFFF"/>
            <w:noWrap/>
            <w:vAlign w:val="center"/>
          </w:tcPr>
          <w:p>
            <w:pPr>
              <w:jc w:val="center"/>
              <w:textAlignment w:val="auto"/>
              <w:rPr>
                <w:rFonts w:hint="eastAsia" w:ascii="宋体" w:hAnsi="宋体" w:cs="宋体"/>
                <w:kern w:val="0"/>
                <w:sz w:val="24"/>
                <w:szCs w:val="24"/>
              </w:rPr>
            </w:pPr>
          </w:p>
        </w:tc>
      </w:tr>
      <w:tr>
        <w:tblPrEx>
          <w:tblCellMar>
            <w:top w:w="0" w:type="dxa"/>
            <w:left w:w="108" w:type="dxa"/>
            <w:bottom w:w="0" w:type="dxa"/>
            <w:right w:w="108" w:type="dxa"/>
          </w:tblCellMar>
        </w:tblPrEx>
        <w:trPr>
          <w:trHeight w:val="680" w:hRule="atLeast"/>
          <w:jc w:val="center"/>
        </w:trPr>
        <w:tc>
          <w:tcPr>
            <w:tcW w:w="763" w:type="dxa"/>
            <w:vMerge w:val="continue"/>
            <w:tcBorders>
              <w:left w:val="single" w:color="auto" w:sz="4" w:space="0"/>
              <w:right w:val="single" w:color="auto" w:sz="4" w:space="0"/>
            </w:tcBorders>
            <w:vAlign w:val="center"/>
          </w:tcPr>
          <w:p>
            <w:pPr>
              <w:jc w:val="left"/>
              <w:textAlignment w:val="auto"/>
              <w:rPr>
                <w:rFonts w:hint="eastAsia" w:ascii="宋体" w:hAnsi="宋体" w:cs="宋体"/>
                <w:kern w:val="0"/>
                <w:sz w:val="24"/>
                <w:szCs w:val="24"/>
              </w:rPr>
            </w:pPr>
          </w:p>
        </w:tc>
        <w:tc>
          <w:tcPr>
            <w:tcW w:w="1494" w:type="dxa"/>
            <w:vMerge w:val="continue"/>
            <w:tcBorders>
              <w:left w:val="nil"/>
              <w:right w:val="single" w:color="auto" w:sz="4" w:space="0"/>
            </w:tcBorders>
            <w:vAlign w:val="center"/>
          </w:tcPr>
          <w:p>
            <w:pPr>
              <w:jc w:val="left"/>
              <w:textAlignment w:val="auto"/>
              <w:rPr>
                <w:rFonts w:hint="eastAsia" w:ascii="宋体" w:hAnsi="宋体" w:cs="宋体"/>
                <w:b/>
                <w:bCs/>
                <w:color w:val="000000"/>
                <w:kern w:val="0"/>
                <w:sz w:val="24"/>
                <w:szCs w:val="24"/>
              </w:rPr>
            </w:pP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支持2路SDI信号输出。</w:t>
            </w:r>
          </w:p>
        </w:tc>
        <w:tc>
          <w:tcPr>
            <w:tcW w:w="942" w:type="dxa"/>
            <w:vMerge w:val="continue"/>
            <w:tcBorders>
              <w:left w:val="single" w:color="auto" w:sz="4" w:space="0"/>
              <w:right w:val="single" w:color="auto" w:sz="4" w:space="0"/>
            </w:tcBorders>
            <w:vAlign w:val="center"/>
          </w:tcPr>
          <w:p>
            <w:pPr>
              <w:jc w:val="left"/>
              <w:textAlignment w:val="auto"/>
              <w:rPr>
                <w:rFonts w:hint="eastAsia" w:ascii="宋体" w:hAnsi="宋体" w:cs="宋体"/>
                <w:kern w:val="0"/>
                <w:sz w:val="24"/>
                <w:szCs w:val="24"/>
              </w:rPr>
            </w:pPr>
          </w:p>
        </w:tc>
        <w:tc>
          <w:tcPr>
            <w:tcW w:w="762" w:type="dxa"/>
            <w:vMerge w:val="continue"/>
            <w:tcBorders>
              <w:left w:val="single" w:color="auto" w:sz="4" w:space="0"/>
              <w:right w:val="single" w:color="auto" w:sz="4" w:space="0"/>
            </w:tcBorders>
            <w:vAlign w:val="center"/>
          </w:tcPr>
          <w:p>
            <w:pPr>
              <w:jc w:val="left"/>
              <w:textAlignment w:val="auto"/>
              <w:rPr>
                <w:rFonts w:hint="eastAsia" w:ascii="宋体" w:hAnsi="宋体" w:cs="宋体"/>
                <w:kern w:val="0"/>
                <w:sz w:val="24"/>
                <w:szCs w:val="24"/>
              </w:rPr>
            </w:pPr>
          </w:p>
        </w:tc>
        <w:tc>
          <w:tcPr>
            <w:tcW w:w="1132" w:type="dxa"/>
            <w:vMerge w:val="continue"/>
            <w:tcBorders>
              <w:left w:val="single" w:color="auto" w:sz="4" w:space="0"/>
              <w:right w:val="single" w:color="auto" w:sz="4" w:space="0"/>
            </w:tcBorders>
            <w:vAlign w:val="center"/>
          </w:tcPr>
          <w:p>
            <w:pPr>
              <w:jc w:val="left"/>
              <w:textAlignment w:val="auto"/>
              <w:rPr>
                <w:rFonts w:hint="eastAsia" w:ascii="宋体" w:hAnsi="宋体" w:cs="宋体"/>
                <w:kern w:val="0"/>
                <w:sz w:val="24"/>
                <w:szCs w:val="24"/>
              </w:rPr>
            </w:pPr>
          </w:p>
        </w:tc>
      </w:tr>
      <w:tr>
        <w:tblPrEx>
          <w:tblCellMar>
            <w:top w:w="0" w:type="dxa"/>
            <w:left w:w="108" w:type="dxa"/>
            <w:bottom w:w="0" w:type="dxa"/>
            <w:right w:w="108" w:type="dxa"/>
          </w:tblCellMar>
        </w:tblPrEx>
        <w:trPr>
          <w:trHeight w:val="753" w:hRule="atLeast"/>
          <w:jc w:val="center"/>
        </w:trPr>
        <w:tc>
          <w:tcPr>
            <w:tcW w:w="763" w:type="dxa"/>
            <w:vMerge w:val="continue"/>
            <w:tcBorders>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1494" w:type="dxa"/>
            <w:vMerge w:val="continue"/>
            <w:tcBorders>
              <w:left w:val="nil"/>
              <w:bottom w:val="single" w:color="auto" w:sz="4" w:space="0"/>
              <w:right w:val="single" w:color="auto" w:sz="4" w:space="0"/>
            </w:tcBorders>
            <w:vAlign w:val="center"/>
          </w:tcPr>
          <w:p>
            <w:pPr>
              <w:jc w:val="left"/>
              <w:textAlignment w:val="auto"/>
              <w:rPr>
                <w:rFonts w:hint="eastAsia" w:ascii="宋体" w:hAnsi="宋体" w:cs="宋体"/>
                <w:b/>
                <w:bCs/>
                <w:color w:val="000000"/>
                <w:kern w:val="0"/>
                <w:sz w:val="24"/>
                <w:szCs w:val="24"/>
              </w:rPr>
            </w:pPr>
          </w:p>
        </w:tc>
        <w:tc>
          <w:tcPr>
            <w:tcW w:w="3550" w:type="dxa"/>
            <w:tcBorders>
              <w:top w:val="nil"/>
              <w:left w:val="nil"/>
              <w:bottom w:val="single" w:color="auto" w:sz="4" w:space="0"/>
              <w:right w:val="single" w:color="auto" w:sz="4" w:space="0"/>
            </w:tcBorders>
            <w:shd w:val="clear" w:color="000000" w:fill="FFFFFF"/>
            <w:vAlign w:val="center"/>
          </w:tcPr>
          <w:p>
            <w:pPr>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原有的手机授权迁移到新的接收系统上</w:t>
            </w:r>
          </w:p>
        </w:tc>
        <w:tc>
          <w:tcPr>
            <w:tcW w:w="942" w:type="dxa"/>
            <w:vMerge w:val="continue"/>
            <w:tcBorders>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762" w:type="dxa"/>
            <w:vMerge w:val="continue"/>
            <w:tcBorders>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c>
          <w:tcPr>
            <w:tcW w:w="1132" w:type="dxa"/>
            <w:vMerge w:val="continue"/>
            <w:tcBorders>
              <w:left w:val="single" w:color="auto" w:sz="4" w:space="0"/>
              <w:bottom w:val="single" w:color="000000" w:sz="4" w:space="0"/>
              <w:right w:val="single" w:color="auto" w:sz="4" w:space="0"/>
            </w:tcBorders>
            <w:vAlign w:val="center"/>
          </w:tcPr>
          <w:p>
            <w:pPr>
              <w:jc w:val="left"/>
              <w:textAlignment w:val="auto"/>
              <w:rPr>
                <w:rFonts w:hint="eastAsia" w:ascii="宋体" w:hAnsi="宋体" w:cs="宋体"/>
                <w:kern w:val="0"/>
                <w:sz w:val="24"/>
                <w:szCs w:val="24"/>
              </w:rPr>
            </w:pPr>
          </w:p>
        </w:tc>
      </w:tr>
      <w:tr>
        <w:tblPrEx>
          <w:tblCellMar>
            <w:top w:w="0" w:type="dxa"/>
            <w:left w:w="108" w:type="dxa"/>
            <w:bottom w:w="0" w:type="dxa"/>
            <w:right w:w="108" w:type="dxa"/>
          </w:tblCellMar>
        </w:tblPrEx>
        <w:trPr>
          <w:trHeight w:val="1080" w:hRule="atLeast"/>
          <w:jc w:val="center"/>
        </w:trPr>
        <w:tc>
          <w:tcPr>
            <w:tcW w:w="7511" w:type="dxa"/>
            <w:gridSpan w:val="5"/>
            <w:tcBorders>
              <w:top w:val="single" w:color="auto" w:sz="4" w:space="0"/>
              <w:left w:val="single" w:color="auto" w:sz="4" w:space="0"/>
              <w:bottom w:val="single" w:color="auto" w:sz="4" w:space="0"/>
              <w:right w:val="single" w:color="000000" w:sz="4" w:space="0"/>
            </w:tcBorders>
            <w:vAlign w:val="center"/>
          </w:tcPr>
          <w:p>
            <w:pPr>
              <w:jc w:val="right"/>
              <w:textAlignment w:val="auto"/>
              <w:rPr>
                <w:rFonts w:hint="eastAsia" w:ascii="宋体" w:hAnsi="宋体" w:cs="宋体"/>
                <w:b/>
                <w:bCs/>
                <w:kern w:val="0"/>
                <w:sz w:val="24"/>
                <w:szCs w:val="24"/>
              </w:rPr>
            </w:pPr>
            <w:r>
              <w:rPr>
                <w:rFonts w:hint="eastAsia" w:ascii="宋体" w:hAnsi="宋体" w:cs="宋体"/>
                <w:b/>
                <w:bCs/>
                <w:kern w:val="0"/>
                <w:sz w:val="24"/>
                <w:szCs w:val="24"/>
              </w:rPr>
              <w:t>置换设备总价</w:t>
            </w:r>
          </w:p>
        </w:tc>
        <w:tc>
          <w:tcPr>
            <w:tcW w:w="1132" w:type="dxa"/>
            <w:tcBorders>
              <w:top w:val="nil"/>
              <w:left w:val="nil"/>
              <w:bottom w:val="single" w:color="auto" w:sz="4" w:space="0"/>
              <w:right w:val="single" w:color="auto" w:sz="4" w:space="0"/>
            </w:tcBorders>
            <w:noWrap/>
            <w:vAlign w:val="center"/>
          </w:tcPr>
          <w:p>
            <w:pPr>
              <w:textAlignment w:val="auto"/>
              <w:rPr>
                <w:rFonts w:hint="eastAsia" w:ascii="宋体" w:hAnsi="宋体" w:cs="宋体"/>
                <w:b/>
                <w:bCs/>
                <w:kern w:val="0"/>
                <w:sz w:val="24"/>
                <w:szCs w:val="24"/>
              </w:rPr>
            </w:pPr>
          </w:p>
        </w:tc>
      </w:tr>
      <w:tr>
        <w:tblPrEx>
          <w:tblCellMar>
            <w:top w:w="0" w:type="dxa"/>
            <w:left w:w="108" w:type="dxa"/>
            <w:bottom w:w="0" w:type="dxa"/>
            <w:right w:w="108" w:type="dxa"/>
          </w:tblCellMar>
        </w:tblPrEx>
        <w:trPr>
          <w:trHeight w:val="1080" w:hRule="atLeast"/>
          <w:jc w:val="center"/>
        </w:trPr>
        <w:tc>
          <w:tcPr>
            <w:tcW w:w="7511" w:type="dxa"/>
            <w:gridSpan w:val="5"/>
            <w:tcBorders>
              <w:top w:val="single" w:color="auto" w:sz="4" w:space="0"/>
              <w:left w:val="single" w:color="auto" w:sz="4" w:space="0"/>
              <w:bottom w:val="single" w:color="auto" w:sz="4" w:space="0"/>
              <w:right w:val="single" w:color="auto" w:sz="4" w:space="0"/>
            </w:tcBorders>
            <w:vAlign w:val="center"/>
          </w:tcPr>
          <w:p>
            <w:pPr>
              <w:jc w:val="right"/>
              <w:textAlignment w:val="auto"/>
              <w:rPr>
                <w:rFonts w:hint="eastAsia" w:ascii="宋体" w:hAnsi="宋体" w:cs="宋体"/>
                <w:b/>
                <w:bCs/>
                <w:kern w:val="0"/>
                <w:sz w:val="24"/>
                <w:szCs w:val="24"/>
              </w:rPr>
            </w:pPr>
            <w:r>
              <w:rPr>
                <w:rFonts w:hint="eastAsia" w:ascii="宋体" w:hAnsi="宋体" w:cs="宋体"/>
                <w:b/>
                <w:bCs/>
                <w:kern w:val="0"/>
                <w:sz w:val="24"/>
                <w:szCs w:val="24"/>
              </w:rPr>
              <w:t>新购设备原价</w:t>
            </w:r>
          </w:p>
        </w:tc>
        <w:tc>
          <w:tcPr>
            <w:tcW w:w="1132" w:type="dxa"/>
            <w:tcBorders>
              <w:top w:val="single" w:color="auto" w:sz="4" w:space="0"/>
              <w:left w:val="single" w:color="auto" w:sz="4" w:space="0"/>
              <w:bottom w:val="single" w:color="auto" w:sz="4" w:space="0"/>
              <w:right w:val="single" w:color="auto" w:sz="4" w:space="0"/>
            </w:tcBorders>
            <w:noWrap/>
            <w:vAlign w:val="center"/>
          </w:tcPr>
          <w:p>
            <w:pPr>
              <w:textAlignment w:val="auto"/>
              <w:rPr>
                <w:rFonts w:hint="eastAsia" w:ascii="宋体" w:hAnsi="宋体" w:cs="宋体"/>
                <w:b/>
                <w:bCs/>
                <w:kern w:val="0"/>
                <w:sz w:val="24"/>
                <w:szCs w:val="24"/>
              </w:rPr>
            </w:pPr>
          </w:p>
        </w:tc>
      </w:tr>
      <w:tr>
        <w:tblPrEx>
          <w:tblCellMar>
            <w:top w:w="0" w:type="dxa"/>
            <w:left w:w="108" w:type="dxa"/>
            <w:bottom w:w="0" w:type="dxa"/>
            <w:right w:w="108" w:type="dxa"/>
          </w:tblCellMar>
        </w:tblPrEx>
        <w:trPr>
          <w:trHeight w:val="1080" w:hRule="atLeast"/>
          <w:jc w:val="center"/>
        </w:trPr>
        <w:tc>
          <w:tcPr>
            <w:tcW w:w="7511" w:type="dxa"/>
            <w:gridSpan w:val="5"/>
            <w:tcBorders>
              <w:top w:val="single" w:color="auto" w:sz="4" w:space="0"/>
              <w:left w:val="single" w:color="auto" w:sz="4" w:space="0"/>
              <w:bottom w:val="single" w:color="auto" w:sz="4" w:space="0"/>
              <w:right w:val="single" w:color="000000" w:sz="4" w:space="0"/>
            </w:tcBorders>
            <w:vAlign w:val="center"/>
          </w:tcPr>
          <w:p>
            <w:pPr>
              <w:jc w:val="right"/>
              <w:textAlignment w:val="auto"/>
              <w:rPr>
                <w:rFonts w:hint="eastAsia" w:ascii="宋体" w:hAnsi="宋体" w:cs="宋体"/>
                <w:b/>
                <w:bCs/>
                <w:kern w:val="0"/>
                <w:sz w:val="24"/>
                <w:szCs w:val="24"/>
              </w:rPr>
            </w:pPr>
            <w:r>
              <w:rPr>
                <w:rFonts w:hint="eastAsia" w:ascii="宋体" w:hAnsi="宋体" w:cs="宋体"/>
                <w:b/>
                <w:bCs/>
                <w:kern w:val="0"/>
                <w:sz w:val="24"/>
                <w:szCs w:val="24"/>
              </w:rPr>
              <w:t>最终甲方应付总价</w:t>
            </w:r>
          </w:p>
        </w:tc>
        <w:tc>
          <w:tcPr>
            <w:tcW w:w="1132" w:type="dxa"/>
            <w:tcBorders>
              <w:top w:val="nil"/>
              <w:left w:val="nil"/>
              <w:bottom w:val="single" w:color="auto" w:sz="4" w:space="0"/>
              <w:right w:val="single" w:color="auto" w:sz="4" w:space="0"/>
            </w:tcBorders>
            <w:noWrap/>
            <w:vAlign w:val="center"/>
          </w:tcPr>
          <w:p>
            <w:pPr>
              <w:textAlignment w:val="auto"/>
              <w:rPr>
                <w:rFonts w:hint="eastAsia" w:ascii="宋体" w:hAnsi="宋体" w:cs="宋体"/>
                <w:b/>
                <w:bCs/>
                <w:kern w:val="0"/>
                <w:sz w:val="24"/>
                <w:szCs w:val="24"/>
              </w:rPr>
            </w:pPr>
          </w:p>
        </w:tc>
      </w:tr>
    </w:tbl>
    <w:p>
      <w:pPr>
        <w:spacing w:line="360" w:lineRule="auto"/>
        <w:rPr>
          <w:rStyle w:val="9"/>
          <w:rFonts w:hint="eastAsia" w:ascii="宋体" w:hAnsi="宋体"/>
          <w:kern w:val="0"/>
          <w:sz w:val="24"/>
          <w:szCs w:val="24"/>
        </w:rPr>
      </w:pPr>
      <w:r>
        <w:rPr>
          <w:rStyle w:val="9"/>
          <w:rFonts w:hint="eastAsia" w:ascii="宋体" w:hAnsi="宋体"/>
          <w:b/>
          <w:bCs/>
          <w:kern w:val="0"/>
          <w:sz w:val="24"/>
          <w:szCs w:val="24"/>
        </w:rPr>
        <w:t xml:space="preserve">    </w:t>
      </w:r>
      <w:r>
        <w:rPr>
          <w:rStyle w:val="9"/>
          <w:rFonts w:hint="eastAsia" w:ascii="宋体" w:hAnsi="宋体"/>
          <w:kern w:val="0"/>
          <w:sz w:val="24"/>
          <w:szCs w:val="24"/>
        </w:rPr>
        <w:t>（上述价格货币单位为人民币。该价格为乙方完成本合同项下义务所需的全部费用，甲方无须再支付任何其他费用</w:t>
      </w:r>
      <w:r>
        <w:rPr>
          <w:rStyle w:val="9"/>
          <w:rFonts w:ascii="宋体" w:hAnsi="宋体"/>
          <w:kern w:val="0"/>
          <w:sz w:val="24"/>
          <w:szCs w:val="24"/>
        </w:rPr>
        <w:t>)</w:t>
      </w:r>
      <w:r>
        <w:rPr>
          <w:rStyle w:val="9"/>
          <w:rFonts w:hint="eastAsia" w:ascii="宋体" w:hAnsi="宋体"/>
          <w:kern w:val="0"/>
          <w:sz w:val="24"/>
          <w:szCs w:val="24"/>
        </w:rPr>
        <w:t>。</w:t>
      </w:r>
    </w:p>
    <w:p>
      <w:pPr>
        <w:spacing w:line="360" w:lineRule="auto"/>
        <w:rPr>
          <w:rStyle w:val="9"/>
          <w:rFonts w:hint="eastAsia" w:ascii="宋体" w:hAnsi="宋体"/>
          <w:b/>
          <w:bCs/>
          <w:kern w:val="0"/>
          <w:sz w:val="24"/>
          <w:szCs w:val="24"/>
        </w:rPr>
      </w:pPr>
      <w:r>
        <w:rPr>
          <w:rStyle w:val="9"/>
          <w:rFonts w:hint="eastAsia" w:ascii="宋体" w:hAnsi="宋体"/>
          <w:b/>
          <w:bCs/>
          <w:kern w:val="0"/>
          <w:sz w:val="24"/>
          <w:szCs w:val="24"/>
        </w:rPr>
        <w:t>二、质量标准</w:t>
      </w:r>
    </w:p>
    <w:p>
      <w:pPr>
        <w:spacing w:line="360" w:lineRule="auto"/>
        <w:ind w:firstLine="480"/>
        <w:rPr>
          <w:rStyle w:val="9"/>
          <w:rFonts w:hint="eastAsia" w:ascii="宋体" w:hAnsi="宋体"/>
          <w:kern w:val="0"/>
          <w:sz w:val="24"/>
          <w:szCs w:val="24"/>
        </w:rPr>
      </w:pPr>
      <w:r>
        <w:rPr>
          <w:rStyle w:val="9"/>
          <w:rFonts w:hint="eastAsia" w:ascii="宋体" w:hAnsi="宋体"/>
          <w:kern w:val="0"/>
          <w:sz w:val="24"/>
          <w:szCs w:val="24"/>
        </w:rPr>
        <w:t>乙方保证其提供的产品为全新、未使用的、正规厂家合格产品，产品质量符合国家相关标准、行业相关标准。乙方应保证设备不侵犯第三方知识产权。</w:t>
      </w:r>
    </w:p>
    <w:p>
      <w:pPr>
        <w:spacing w:line="360" w:lineRule="auto"/>
        <w:rPr>
          <w:rStyle w:val="9"/>
          <w:rFonts w:hint="eastAsia" w:ascii="宋体" w:hAnsi="宋体"/>
          <w:b/>
          <w:bCs/>
          <w:kern w:val="0"/>
          <w:sz w:val="24"/>
          <w:szCs w:val="24"/>
        </w:rPr>
      </w:pPr>
      <w:r>
        <w:rPr>
          <w:rStyle w:val="9"/>
          <w:rFonts w:hint="eastAsia" w:ascii="宋体" w:hAnsi="宋体"/>
          <w:b/>
          <w:bCs/>
          <w:kern w:val="0"/>
          <w:sz w:val="24"/>
          <w:szCs w:val="24"/>
        </w:rPr>
        <w:t>三、产品包装及费用</w:t>
      </w:r>
    </w:p>
    <w:p>
      <w:pPr>
        <w:spacing w:line="360" w:lineRule="auto"/>
        <w:ind w:firstLine="480"/>
        <w:rPr>
          <w:rStyle w:val="9"/>
          <w:rFonts w:hint="eastAsia" w:ascii="宋体" w:hAnsi="宋体"/>
          <w:kern w:val="0"/>
          <w:sz w:val="24"/>
          <w:szCs w:val="24"/>
        </w:rPr>
      </w:pPr>
      <w:r>
        <w:rPr>
          <w:rStyle w:val="9"/>
          <w:rFonts w:hint="eastAsia" w:ascii="宋体" w:hAnsi="宋体"/>
          <w:kern w:val="0"/>
          <w:sz w:val="24"/>
          <w:szCs w:val="24"/>
        </w:rPr>
        <w:t>乙方按照产品的特性进行保护性方式包装，根据产品的不同特性和要求采取防潮、防雨、防震等保护措施，以确保产品安全无损地到达交货地点。包装费用由乙方承担。产品交付前的风险由乙方承担。</w:t>
      </w:r>
    </w:p>
    <w:p>
      <w:pPr>
        <w:spacing w:line="360" w:lineRule="auto"/>
        <w:rPr>
          <w:rStyle w:val="9"/>
          <w:rFonts w:hint="eastAsia" w:ascii="宋体" w:hAnsi="宋体"/>
          <w:b/>
          <w:bCs/>
          <w:kern w:val="0"/>
          <w:sz w:val="24"/>
          <w:szCs w:val="24"/>
        </w:rPr>
      </w:pPr>
      <w:r>
        <w:rPr>
          <w:rStyle w:val="9"/>
          <w:rFonts w:hint="eastAsia" w:ascii="宋体" w:hAnsi="宋体"/>
          <w:b/>
          <w:bCs/>
          <w:kern w:val="0"/>
          <w:sz w:val="24"/>
          <w:szCs w:val="24"/>
        </w:rPr>
        <w:t>四、产品交货期限、到货地点、交付方法</w:t>
      </w:r>
    </w:p>
    <w:p>
      <w:pPr>
        <w:spacing w:line="360" w:lineRule="auto"/>
        <w:ind w:firstLine="470"/>
        <w:rPr>
          <w:rStyle w:val="9"/>
          <w:rFonts w:hint="eastAsia" w:ascii="宋体" w:hAnsi="宋体"/>
          <w:kern w:val="0"/>
          <w:sz w:val="24"/>
          <w:szCs w:val="24"/>
          <w:u w:val="single"/>
        </w:rPr>
      </w:pPr>
      <w:r>
        <w:rPr>
          <w:rStyle w:val="9"/>
          <w:rFonts w:ascii="宋体" w:hAnsi="宋体"/>
          <w:kern w:val="0"/>
          <w:sz w:val="24"/>
          <w:szCs w:val="24"/>
        </w:rPr>
        <w:t>4.1</w:t>
      </w:r>
      <w:r>
        <w:rPr>
          <w:rStyle w:val="9"/>
          <w:rFonts w:hint="eastAsia" w:ascii="宋体" w:hAnsi="宋体"/>
          <w:kern w:val="0"/>
          <w:sz w:val="24"/>
          <w:szCs w:val="24"/>
        </w:rPr>
        <w:t>交货期限：自</w:t>
      </w:r>
      <w:r>
        <w:rPr>
          <w:rStyle w:val="9"/>
          <w:rFonts w:hint="eastAsia" w:ascii="宋体" w:hAnsi="宋体"/>
          <w:kern w:val="0"/>
          <w:sz w:val="24"/>
          <w:szCs w:val="24"/>
          <w:u w:val="single" w:color="000000"/>
        </w:rPr>
        <w:t>合同签定之日起15个工作日内，乙方须完成硬件设备交付至甲方指定地点，并在甲方指定公有云平台同步部署信号解码服务器，且软硬件均通过甲方联合验收</w:t>
      </w:r>
      <w:r>
        <w:rPr>
          <w:rStyle w:val="9"/>
          <w:rFonts w:hint="eastAsia" w:ascii="宋体" w:hAnsi="宋体"/>
          <w:kern w:val="0"/>
          <w:sz w:val="24"/>
          <w:szCs w:val="24"/>
        </w:rPr>
        <w:t>。</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4.2</w:t>
      </w:r>
      <w:r>
        <w:rPr>
          <w:rStyle w:val="9"/>
          <w:rFonts w:hint="eastAsia" w:ascii="宋体" w:hAnsi="宋体"/>
          <w:kern w:val="0"/>
          <w:sz w:val="24"/>
          <w:szCs w:val="24"/>
        </w:rPr>
        <w:t>交货地址：</w:t>
      </w:r>
      <w:r>
        <w:rPr>
          <w:rStyle w:val="9"/>
          <w:rFonts w:hint="eastAsia" w:ascii="宋体" w:hAnsi="宋体"/>
          <w:kern w:val="0"/>
          <w:sz w:val="24"/>
          <w:szCs w:val="24"/>
          <w:u w:val="single" w:color="000000"/>
        </w:rPr>
        <w:t xml:space="preserve">    广州市越秀区广州大道中289号南方日报社      </w:t>
      </w:r>
      <w:r>
        <w:rPr>
          <w:rStyle w:val="9"/>
          <w:rFonts w:hint="eastAsia" w:ascii="宋体" w:hAnsi="宋体"/>
          <w:kern w:val="0"/>
          <w:sz w:val="24"/>
          <w:szCs w:val="24"/>
        </w:rPr>
        <w:t>。</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4.3</w:t>
      </w:r>
      <w:r>
        <w:rPr>
          <w:rStyle w:val="9"/>
          <w:rFonts w:hint="eastAsia" w:ascii="宋体" w:hAnsi="宋体"/>
          <w:kern w:val="0"/>
          <w:sz w:val="24"/>
          <w:szCs w:val="24"/>
        </w:rPr>
        <w:t>硬件设备交付方法：</w:t>
      </w:r>
      <w:r>
        <w:rPr>
          <w:rStyle w:val="9"/>
          <w:rFonts w:hint="eastAsia" w:ascii="宋体" w:hAnsi="宋体"/>
          <w:bCs/>
          <w:kern w:val="0"/>
          <w:sz w:val="24"/>
          <w:szCs w:val="24"/>
        </w:rPr>
        <w:t>乙方将货物快递交付给甲方。</w:t>
      </w:r>
      <w:r>
        <w:rPr>
          <w:rStyle w:val="9"/>
          <w:rFonts w:hint="eastAsia" w:ascii="宋体" w:hAnsi="宋体"/>
          <w:kern w:val="0"/>
          <w:sz w:val="24"/>
          <w:szCs w:val="24"/>
        </w:rPr>
        <w:t>甲方收到货物前，货物损毁、灭失的风险由乙方承担。</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4.4</w:t>
      </w:r>
      <w:r>
        <w:rPr>
          <w:rStyle w:val="9"/>
          <w:rFonts w:hint="eastAsia" w:ascii="宋体" w:hAnsi="宋体"/>
          <w:kern w:val="0"/>
          <w:sz w:val="24"/>
          <w:szCs w:val="24"/>
        </w:rPr>
        <w:t>交货时，乙方应将货物的用户手册、保修手册等单证交付给甲方。</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4.5</w:t>
      </w:r>
      <w:r>
        <w:rPr>
          <w:rStyle w:val="9"/>
          <w:rFonts w:hint="eastAsia" w:ascii="宋体" w:hAnsi="宋体"/>
          <w:kern w:val="0"/>
          <w:sz w:val="24"/>
          <w:szCs w:val="24"/>
        </w:rPr>
        <w:t>乙方就交付的标的物，负有保证第三人不得向甲方主张任何权利的义务。</w:t>
      </w:r>
    </w:p>
    <w:p>
      <w:pPr>
        <w:spacing w:line="360" w:lineRule="auto"/>
        <w:rPr>
          <w:rStyle w:val="9"/>
          <w:rFonts w:hint="eastAsia" w:ascii="宋体" w:hAnsi="宋体"/>
          <w:b/>
          <w:bCs/>
          <w:kern w:val="0"/>
          <w:sz w:val="24"/>
          <w:szCs w:val="24"/>
        </w:rPr>
      </w:pPr>
      <w:r>
        <w:rPr>
          <w:rStyle w:val="9"/>
          <w:rFonts w:hint="eastAsia" w:ascii="宋体" w:hAnsi="宋体"/>
          <w:b/>
          <w:bCs/>
          <w:kern w:val="0"/>
          <w:sz w:val="24"/>
          <w:szCs w:val="24"/>
        </w:rPr>
        <w:t>五、产品验收、旧设备交接</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5.1</w:t>
      </w:r>
      <w:r>
        <w:rPr>
          <w:rStyle w:val="9"/>
          <w:rFonts w:hint="eastAsia" w:ascii="宋体" w:hAnsi="宋体"/>
          <w:kern w:val="0"/>
          <w:sz w:val="24"/>
          <w:szCs w:val="24"/>
        </w:rPr>
        <w:t>产品验收标准：硬件产品外观无运输损伤、配件齐全，设备启动无报错代码，触控屏功能正常，产品有相关质检证明和许可证等，所有HDMI/SDI接口输入输出信号稳定。软件产品由乙方负责安装至甲方指定的服务器，服务配置由乙方提供，云服务器由甲方提供，乙方需将原有手机授权迁移至新服务器，并进行联合调试。</w:t>
      </w:r>
    </w:p>
    <w:p>
      <w:pPr>
        <w:spacing w:line="360" w:lineRule="auto"/>
        <w:ind w:firstLine="480"/>
        <w:rPr>
          <w:rStyle w:val="9"/>
          <w:rFonts w:hint="eastAsia" w:ascii="宋体" w:hAnsi="宋体"/>
          <w:kern w:val="0"/>
          <w:sz w:val="24"/>
          <w:szCs w:val="24"/>
        </w:rPr>
      </w:pPr>
      <w:r>
        <w:rPr>
          <w:rStyle w:val="9"/>
          <w:rFonts w:hint="eastAsia" w:ascii="宋体" w:hAnsi="宋体"/>
          <w:kern w:val="0"/>
          <w:sz w:val="24"/>
          <w:szCs w:val="24"/>
        </w:rPr>
        <w:t>产品到货并部署上线后，新旧设备需共同运行15个工作日，期间如新设备能正常运行，则通过验收。</w:t>
      </w:r>
    </w:p>
    <w:p>
      <w:pPr>
        <w:spacing w:line="360" w:lineRule="auto"/>
        <w:ind w:firstLine="480"/>
        <w:rPr>
          <w:rStyle w:val="9"/>
          <w:rFonts w:hint="eastAsia" w:ascii="宋体" w:hAnsi="宋体"/>
          <w:kern w:val="0"/>
          <w:sz w:val="24"/>
          <w:szCs w:val="24"/>
          <w:u w:val="single"/>
        </w:rPr>
      </w:pPr>
      <w:r>
        <w:rPr>
          <w:rStyle w:val="9"/>
          <w:rFonts w:ascii="宋体" w:hAnsi="宋体"/>
          <w:kern w:val="0"/>
          <w:sz w:val="24"/>
          <w:szCs w:val="24"/>
        </w:rPr>
        <w:t>5.2</w:t>
      </w:r>
      <w:r>
        <w:rPr>
          <w:rStyle w:val="9"/>
          <w:rFonts w:hint="eastAsia" w:ascii="宋体" w:hAnsi="宋体"/>
          <w:kern w:val="0"/>
          <w:sz w:val="24"/>
          <w:szCs w:val="24"/>
        </w:rPr>
        <w:t>产品验收方式为：甲乙双方共同验收。</w:t>
      </w:r>
    </w:p>
    <w:p>
      <w:pPr>
        <w:spacing w:line="360" w:lineRule="auto"/>
        <w:ind w:firstLine="480"/>
        <w:rPr>
          <w:rStyle w:val="9"/>
          <w:rFonts w:hint="eastAsia" w:ascii="宋体" w:hAnsi="宋体"/>
          <w:kern w:val="0"/>
          <w:sz w:val="24"/>
          <w:szCs w:val="24"/>
          <w:u w:val="single" w:color="000000"/>
        </w:rPr>
      </w:pPr>
      <w:r>
        <w:rPr>
          <w:rStyle w:val="9"/>
          <w:rFonts w:ascii="宋体" w:hAnsi="宋体"/>
          <w:kern w:val="0"/>
          <w:sz w:val="24"/>
          <w:szCs w:val="24"/>
        </w:rPr>
        <w:t>5.3</w:t>
      </w:r>
      <w:r>
        <w:rPr>
          <w:rStyle w:val="9"/>
          <w:rFonts w:hint="eastAsia" w:ascii="宋体" w:hAnsi="宋体"/>
          <w:kern w:val="0"/>
          <w:sz w:val="24"/>
          <w:szCs w:val="24"/>
        </w:rPr>
        <w:t xml:space="preserve"> 质量保证期时间：整体项目设备产品从安装完毕并验收合格之日起计算,免费质保期为壹年。</w:t>
      </w:r>
    </w:p>
    <w:p>
      <w:pPr>
        <w:spacing w:line="360" w:lineRule="auto"/>
        <w:ind w:firstLine="480"/>
        <w:rPr>
          <w:rStyle w:val="9"/>
          <w:rFonts w:hint="eastAsia" w:ascii="宋体" w:hAnsi="宋体"/>
          <w:kern w:val="0"/>
          <w:sz w:val="24"/>
          <w:szCs w:val="24"/>
        </w:rPr>
      </w:pPr>
      <w:r>
        <w:rPr>
          <w:rStyle w:val="9"/>
          <w:rFonts w:hint="eastAsia" w:ascii="宋体" w:hAnsi="宋体"/>
          <w:kern w:val="0"/>
          <w:sz w:val="24"/>
          <w:szCs w:val="24"/>
        </w:rPr>
        <w:t>5.4 旧设备交付时间：产品验收后10个工作日内，完成旧设备交付。</w:t>
      </w:r>
    </w:p>
    <w:p>
      <w:pPr>
        <w:spacing w:line="360" w:lineRule="auto"/>
        <w:ind w:firstLine="480"/>
        <w:rPr>
          <w:rStyle w:val="9"/>
          <w:rFonts w:hint="eastAsia" w:ascii="宋体" w:hAnsi="宋体"/>
          <w:kern w:val="0"/>
          <w:sz w:val="24"/>
          <w:szCs w:val="24"/>
        </w:rPr>
      </w:pPr>
      <w:r>
        <w:rPr>
          <w:rStyle w:val="9"/>
          <w:rFonts w:hint="eastAsia" w:ascii="宋体" w:hAnsi="宋体"/>
          <w:kern w:val="0"/>
          <w:sz w:val="24"/>
          <w:szCs w:val="24"/>
        </w:rPr>
        <w:t>5.5 旧设备交付方法：甲方将旧设备快递交付给乙方，所有权随之转移给乙方。乙方对旧设备有数据清除责任。乙方收到旧设备后应在五日内完成验收，逾期视为无异议验收通过。</w:t>
      </w:r>
    </w:p>
    <w:p>
      <w:pPr>
        <w:spacing w:line="360" w:lineRule="auto"/>
        <w:rPr>
          <w:rStyle w:val="9"/>
          <w:rFonts w:hint="eastAsia" w:ascii="宋体" w:hAnsi="宋体"/>
          <w:b/>
          <w:bCs/>
          <w:kern w:val="0"/>
          <w:sz w:val="24"/>
          <w:szCs w:val="24"/>
        </w:rPr>
      </w:pPr>
      <w:r>
        <w:rPr>
          <w:rStyle w:val="9"/>
          <w:rFonts w:hint="eastAsia" w:ascii="宋体" w:hAnsi="宋体"/>
          <w:b/>
          <w:bCs/>
          <w:kern w:val="0"/>
          <w:sz w:val="24"/>
          <w:szCs w:val="24"/>
        </w:rPr>
        <w:t>六、安装调试</w:t>
      </w:r>
    </w:p>
    <w:p>
      <w:pPr>
        <w:spacing w:line="360" w:lineRule="auto"/>
        <w:ind w:firstLine="480"/>
        <w:rPr>
          <w:rStyle w:val="9"/>
          <w:rFonts w:hint="eastAsia" w:ascii="宋体" w:hAnsi="宋体"/>
          <w:kern w:val="0"/>
          <w:sz w:val="24"/>
          <w:szCs w:val="24"/>
        </w:rPr>
      </w:pPr>
      <w:r>
        <w:rPr>
          <w:rStyle w:val="10"/>
          <w:rFonts w:ascii="宋体" w:hAnsi="宋体"/>
        </w:rPr>
        <w:t> </w:t>
      </w:r>
      <w:r>
        <w:rPr>
          <w:rStyle w:val="9"/>
          <w:rFonts w:hint="eastAsia" w:ascii="宋体" w:hAnsi="宋体"/>
          <w:sz w:val="24"/>
          <w:szCs w:val="24"/>
        </w:rPr>
        <w:t>乙方交付产品给甲方，安装调试由乙方解决。</w:t>
      </w:r>
    </w:p>
    <w:p>
      <w:pPr>
        <w:spacing w:line="360" w:lineRule="auto"/>
        <w:rPr>
          <w:rStyle w:val="9"/>
          <w:rFonts w:hint="eastAsia" w:ascii="宋体" w:hAnsi="宋体"/>
          <w:b/>
          <w:bCs/>
          <w:kern w:val="0"/>
          <w:sz w:val="24"/>
          <w:szCs w:val="24"/>
        </w:rPr>
      </w:pPr>
      <w:r>
        <w:rPr>
          <w:rStyle w:val="9"/>
          <w:rFonts w:hint="eastAsia" w:ascii="宋体" w:hAnsi="宋体"/>
          <w:b/>
          <w:bCs/>
          <w:kern w:val="0"/>
          <w:sz w:val="24"/>
          <w:szCs w:val="24"/>
        </w:rPr>
        <w:t>七、付款方式及期限</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7.1</w:t>
      </w:r>
      <w:r>
        <w:rPr>
          <w:rStyle w:val="9"/>
          <w:rFonts w:hint="eastAsia" w:ascii="宋体" w:hAnsi="宋体"/>
          <w:kern w:val="0"/>
          <w:sz w:val="24"/>
          <w:szCs w:val="24"/>
        </w:rPr>
        <w:t>付款方式：转账</w:t>
      </w:r>
    </w:p>
    <w:p>
      <w:pPr>
        <w:spacing w:line="360" w:lineRule="auto"/>
        <w:ind w:firstLine="480"/>
        <w:rPr>
          <w:rStyle w:val="9"/>
          <w:rFonts w:hint="eastAsia" w:ascii="宋体" w:hAnsi="宋体"/>
          <w:kern w:val="0"/>
          <w:sz w:val="24"/>
          <w:szCs w:val="24"/>
        </w:rPr>
      </w:pPr>
      <w:r>
        <w:rPr>
          <w:rStyle w:val="9"/>
          <w:rFonts w:hint="eastAsia" w:ascii="宋体" w:hAnsi="宋体"/>
          <w:kern w:val="0"/>
          <w:sz w:val="24"/>
          <w:szCs w:val="24"/>
        </w:rPr>
        <w:t xml:space="preserve">户 </w:t>
      </w:r>
      <w:r>
        <w:rPr>
          <w:rStyle w:val="9"/>
          <w:rFonts w:ascii="宋体" w:hAnsi="宋体"/>
          <w:kern w:val="0"/>
          <w:sz w:val="24"/>
          <w:szCs w:val="24"/>
        </w:rPr>
        <w:t xml:space="preserve"> </w:t>
      </w:r>
      <w:r>
        <w:rPr>
          <w:rStyle w:val="9"/>
          <w:rFonts w:hint="eastAsia" w:ascii="宋体" w:hAnsi="宋体"/>
          <w:kern w:val="0"/>
          <w:sz w:val="24"/>
          <w:szCs w:val="24"/>
        </w:rPr>
        <w:t xml:space="preserve">名： </w:t>
      </w:r>
    </w:p>
    <w:p>
      <w:pPr>
        <w:spacing w:line="360" w:lineRule="auto"/>
        <w:ind w:firstLine="480"/>
        <w:rPr>
          <w:rStyle w:val="9"/>
          <w:rFonts w:hint="eastAsia" w:ascii="宋体" w:hAnsi="宋体"/>
          <w:kern w:val="0"/>
          <w:sz w:val="24"/>
          <w:szCs w:val="24"/>
        </w:rPr>
      </w:pPr>
      <w:r>
        <w:rPr>
          <w:rStyle w:val="9"/>
          <w:rFonts w:hint="eastAsia" w:ascii="宋体" w:hAnsi="宋体"/>
          <w:kern w:val="0"/>
          <w:sz w:val="24"/>
          <w:szCs w:val="24"/>
        </w:rPr>
        <w:t xml:space="preserve">开户行： </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账</w:t>
      </w:r>
      <w:r>
        <w:rPr>
          <w:rStyle w:val="9"/>
          <w:rFonts w:hint="eastAsia" w:ascii="宋体" w:hAnsi="宋体"/>
          <w:kern w:val="0"/>
          <w:sz w:val="24"/>
          <w:szCs w:val="24"/>
        </w:rPr>
        <w:t xml:space="preserve"> </w:t>
      </w:r>
      <w:r>
        <w:rPr>
          <w:rStyle w:val="9"/>
          <w:rFonts w:ascii="宋体" w:hAnsi="宋体"/>
          <w:kern w:val="0"/>
          <w:sz w:val="24"/>
          <w:szCs w:val="24"/>
        </w:rPr>
        <w:t xml:space="preserve"> 号</w:t>
      </w:r>
      <w:r>
        <w:rPr>
          <w:rStyle w:val="9"/>
          <w:rFonts w:hint="eastAsia" w:ascii="宋体" w:hAnsi="宋体"/>
          <w:kern w:val="0"/>
          <w:sz w:val="24"/>
          <w:szCs w:val="24"/>
        </w:rPr>
        <w:t>：</w:t>
      </w:r>
    </w:p>
    <w:p>
      <w:pPr>
        <w:spacing w:line="360" w:lineRule="auto"/>
        <w:ind w:firstLine="480"/>
        <w:rPr>
          <w:rStyle w:val="9"/>
          <w:rFonts w:hint="eastAsia" w:ascii="宋体" w:hAnsi="宋体"/>
          <w:kern w:val="0"/>
          <w:sz w:val="24"/>
          <w:szCs w:val="24"/>
        </w:rPr>
      </w:pPr>
      <w:r>
        <w:rPr>
          <w:rStyle w:val="9"/>
          <w:rFonts w:hint="eastAsia" w:ascii="宋体" w:hAnsi="宋体"/>
          <w:kern w:val="0"/>
          <w:sz w:val="24"/>
          <w:szCs w:val="24"/>
        </w:rPr>
        <w:t>税  号：</w:t>
      </w:r>
    </w:p>
    <w:p>
      <w:pPr>
        <w:spacing w:line="360" w:lineRule="auto"/>
        <w:ind w:firstLine="480"/>
        <w:rPr>
          <w:rStyle w:val="9"/>
          <w:rFonts w:hint="eastAsia" w:ascii="宋体" w:hAnsi="宋体"/>
          <w:kern w:val="0"/>
          <w:sz w:val="24"/>
          <w:szCs w:val="24"/>
        </w:rPr>
      </w:pPr>
      <w:r>
        <w:rPr>
          <w:rStyle w:val="9"/>
          <w:rFonts w:hint="eastAsia" w:ascii="宋体" w:hAnsi="宋体"/>
          <w:kern w:val="0"/>
          <w:sz w:val="24"/>
          <w:szCs w:val="24"/>
        </w:rPr>
        <w:t xml:space="preserve">单位地址： </w:t>
      </w:r>
    </w:p>
    <w:p>
      <w:pPr>
        <w:spacing w:line="360" w:lineRule="auto"/>
        <w:ind w:firstLine="480"/>
        <w:rPr>
          <w:rStyle w:val="9"/>
          <w:rFonts w:hint="eastAsia" w:ascii="宋体" w:hAnsi="宋体"/>
          <w:kern w:val="0"/>
          <w:sz w:val="24"/>
          <w:szCs w:val="24"/>
        </w:rPr>
      </w:pPr>
      <w:r>
        <w:rPr>
          <w:rStyle w:val="9"/>
          <w:rFonts w:hint="eastAsia" w:ascii="宋体" w:hAnsi="宋体"/>
          <w:kern w:val="0"/>
          <w:sz w:val="24"/>
          <w:szCs w:val="24"/>
        </w:rPr>
        <w:t>联系方式：</w:t>
      </w:r>
    </w:p>
    <w:p>
      <w:pPr>
        <w:spacing w:line="360" w:lineRule="auto"/>
        <w:ind w:firstLine="482"/>
        <w:rPr>
          <w:rStyle w:val="9"/>
          <w:rFonts w:hint="eastAsia" w:ascii="宋体" w:hAnsi="宋体"/>
          <w:kern w:val="0"/>
          <w:sz w:val="24"/>
          <w:szCs w:val="24"/>
        </w:rPr>
      </w:pPr>
      <w:r>
        <w:rPr>
          <w:rStyle w:val="9"/>
          <w:rFonts w:ascii="宋体" w:hAnsi="宋体"/>
          <w:kern w:val="0"/>
          <w:sz w:val="24"/>
          <w:szCs w:val="24"/>
        </w:rPr>
        <w:t>7.2</w:t>
      </w:r>
      <w:r>
        <w:rPr>
          <w:rStyle w:val="9"/>
          <w:rFonts w:hint="eastAsia" w:ascii="宋体" w:hAnsi="宋体"/>
          <w:kern w:val="0"/>
          <w:sz w:val="24"/>
          <w:szCs w:val="24"/>
        </w:rPr>
        <w:t>付款期限：本合同总造价为人民币________元整。</w:t>
      </w:r>
    </w:p>
    <w:p>
      <w:pPr>
        <w:spacing w:line="360" w:lineRule="auto"/>
        <w:ind w:firstLine="482"/>
        <w:rPr>
          <w:rStyle w:val="9"/>
          <w:rFonts w:hint="eastAsia" w:ascii="宋体" w:hAnsi="宋体"/>
          <w:color w:val="000000"/>
          <w:kern w:val="0"/>
          <w:sz w:val="24"/>
          <w:szCs w:val="24"/>
        </w:rPr>
      </w:pPr>
      <w:r>
        <w:rPr>
          <w:rStyle w:val="9"/>
          <w:rFonts w:hint="eastAsia" w:ascii="宋体" w:hAnsi="宋体"/>
          <w:color w:val="000000"/>
          <w:kern w:val="0"/>
          <w:sz w:val="24"/>
          <w:szCs w:val="24"/>
        </w:rPr>
        <w:t>（1）合同生效后且收到</w:t>
      </w:r>
      <w:r>
        <w:rPr>
          <w:rStyle w:val="9"/>
          <w:rFonts w:hint="eastAsia" w:ascii="宋体" w:hAnsi="宋体"/>
          <w:kern w:val="0"/>
          <w:sz w:val="24"/>
          <w:szCs w:val="24"/>
        </w:rPr>
        <w:t>乙方开具的有效增值税专用发票后</w:t>
      </w:r>
      <w:r>
        <w:rPr>
          <w:rStyle w:val="9"/>
          <w:rFonts w:hint="eastAsia" w:ascii="宋体" w:hAnsi="宋体"/>
          <w:color w:val="000000"/>
          <w:kern w:val="0"/>
          <w:sz w:val="24"/>
          <w:szCs w:val="24"/>
        </w:rPr>
        <w:t>15个工作日内，甲方向乙方支付合同总金额的30%货款，即________元，作为预付款。</w:t>
      </w:r>
    </w:p>
    <w:p>
      <w:pPr>
        <w:spacing w:line="360" w:lineRule="auto"/>
        <w:ind w:firstLine="482"/>
        <w:rPr>
          <w:rStyle w:val="9"/>
          <w:rFonts w:hint="eastAsia" w:ascii="宋体" w:hAnsi="宋体"/>
          <w:kern w:val="0"/>
          <w:sz w:val="24"/>
          <w:szCs w:val="24"/>
        </w:rPr>
      </w:pPr>
      <w:r>
        <w:rPr>
          <w:rStyle w:val="9"/>
          <w:rFonts w:hint="eastAsia" w:ascii="宋体" w:hAnsi="宋体"/>
          <w:kern w:val="0"/>
          <w:sz w:val="24"/>
          <w:szCs w:val="24"/>
        </w:rPr>
        <w:t>（2）合同所有软硬件设备须运达甲方指定现场并交付甲方，产品验收通过以及相关文档、资料提交后，乙方应在收款前5个工作日内开具发票，甲方凭借乙方开具的有效增值税专用发票，</w:t>
      </w:r>
      <w:r>
        <w:rPr>
          <w:rStyle w:val="9"/>
          <w:rFonts w:ascii="宋体" w:hAnsi="宋体"/>
          <w:kern w:val="0"/>
          <w:sz w:val="24"/>
          <w:szCs w:val="24"/>
        </w:rPr>
        <w:t>15</w:t>
      </w:r>
      <w:r>
        <w:rPr>
          <w:rStyle w:val="9"/>
          <w:rFonts w:hint="eastAsia" w:ascii="宋体" w:hAnsi="宋体"/>
          <w:kern w:val="0"/>
          <w:sz w:val="24"/>
          <w:szCs w:val="24"/>
        </w:rPr>
        <w:t>个工作日内向乙方支付合同总价的60%货款，即</w:t>
      </w:r>
      <w:r>
        <w:rPr>
          <w:rStyle w:val="9"/>
          <w:rFonts w:hint="eastAsia" w:ascii="宋体" w:hAnsi="宋体"/>
          <w:color w:val="000000"/>
          <w:kern w:val="0"/>
          <w:sz w:val="24"/>
          <w:szCs w:val="24"/>
        </w:rPr>
        <w:t>__________</w:t>
      </w:r>
      <w:r>
        <w:rPr>
          <w:rStyle w:val="9"/>
          <w:rFonts w:hint="eastAsia" w:ascii="宋体" w:hAnsi="宋体"/>
          <w:kern w:val="0"/>
          <w:sz w:val="24"/>
          <w:szCs w:val="24"/>
        </w:rPr>
        <w:t>元。</w:t>
      </w:r>
    </w:p>
    <w:p>
      <w:pPr>
        <w:spacing w:line="360" w:lineRule="auto"/>
        <w:ind w:firstLine="482"/>
        <w:rPr>
          <w:rStyle w:val="9"/>
          <w:rFonts w:hint="eastAsia" w:ascii="宋体" w:hAnsi="宋体"/>
          <w:kern w:val="0"/>
          <w:sz w:val="24"/>
          <w:szCs w:val="24"/>
        </w:rPr>
      </w:pPr>
      <w:r>
        <w:rPr>
          <w:rStyle w:val="9"/>
          <w:rFonts w:hint="eastAsia" w:ascii="宋体" w:hAnsi="宋体"/>
          <w:kern w:val="0"/>
          <w:sz w:val="24"/>
          <w:szCs w:val="24"/>
        </w:rPr>
        <w:t>（3）质保期满且乙方无违约行为的，甲方于质保期满后</w:t>
      </w:r>
      <w:r>
        <w:rPr>
          <w:rStyle w:val="9"/>
          <w:rFonts w:hint="eastAsia" w:ascii="宋体" w:hAnsi="宋体"/>
          <w:color w:val="000000"/>
          <w:kern w:val="0"/>
          <w:sz w:val="24"/>
          <w:szCs w:val="24"/>
        </w:rPr>
        <w:t>且收到</w:t>
      </w:r>
      <w:r>
        <w:rPr>
          <w:rStyle w:val="9"/>
          <w:rFonts w:hint="eastAsia" w:ascii="宋体" w:hAnsi="宋体"/>
          <w:kern w:val="0"/>
          <w:sz w:val="24"/>
          <w:szCs w:val="24"/>
        </w:rPr>
        <w:t>乙方开具的有效增值税专用发票后</w:t>
      </w:r>
      <w:r>
        <w:rPr>
          <w:rStyle w:val="9"/>
          <w:rFonts w:hint="eastAsia" w:ascii="宋体" w:hAnsi="宋体"/>
          <w:color w:val="000000"/>
          <w:kern w:val="0"/>
          <w:sz w:val="24"/>
          <w:szCs w:val="24"/>
        </w:rPr>
        <w:t>15个工作日内</w:t>
      </w:r>
      <w:r>
        <w:rPr>
          <w:rStyle w:val="9"/>
          <w:rFonts w:hint="eastAsia" w:ascii="宋体" w:hAnsi="宋体"/>
          <w:kern w:val="0"/>
          <w:sz w:val="24"/>
          <w:szCs w:val="24"/>
        </w:rPr>
        <w:t>支付剩余10%货款，即__________元。</w:t>
      </w:r>
    </w:p>
    <w:p>
      <w:pPr>
        <w:spacing w:line="360" w:lineRule="auto"/>
        <w:ind w:firstLine="482"/>
        <w:rPr>
          <w:rStyle w:val="9"/>
          <w:rFonts w:hint="eastAsia" w:ascii="宋体" w:hAnsi="宋体"/>
          <w:kern w:val="0"/>
          <w:sz w:val="24"/>
          <w:szCs w:val="24"/>
        </w:rPr>
      </w:pPr>
      <w:r>
        <w:rPr>
          <w:rStyle w:val="9"/>
          <w:rFonts w:hint="eastAsia" w:ascii="宋体" w:hAnsi="宋体"/>
          <w:kern w:val="0"/>
          <w:sz w:val="24"/>
          <w:szCs w:val="24"/>
        </w:rPr>
        <w:t>（4）乙方交付的设备或提供的服务不符合合同约定，或设备在运行后出现质量问题的，甲方有权顺延相应期限支付应付款项且不视为甲方违约，直至乙方解决全部质量问题或提供符合合同约定的服务。甲方有权在剩余未付款项中扣减乙方应当承担的违约金或赔偿金。</w:t>
      </w:r>
    </w:p>
    <w:p>
      <w:pPr>
        <w:spacing w:line="360" w:lineRule="auto"/>
        <w:rPr>
          <w:rStyle w:val="9"/>
          <w:rFonts w:hint="eastAsia" w:ascii="宋体" w:hAnsi="宋体"/>
          <w:b/>
          <w:bCs/>
          <w:kern w:val="0"/>
          <w:sz w:val="24"/>
          <w:szCs w:val="24"/>
        </w:rPr>
      </w:pPr>
      <w:r>
        <w:rPr>
          <w:rStyle w:val="9"/>
          <w:rFonts w:hint="eastAsia" w:ascii="宋体" w:hAnsi="宋体"/>
          <w:b/>
          <w:bCs/>
          <w:kern w:val="0"/>
          <w:sz w:val="24"/>
          <w:szCs w:val="24"/>
        </w:rPr>
        <w:t>八、保修期、售后服务及技术支持</w:t>
      </w:r>
    </w:p>
    <w:p>
      <w:pPr>
        <w:spacing w:line="360" w:lineRule="auto"/>
        <w:ind w:firstLine="480"/>
        <w:rPr>
          <w:rStyle w:val="9"/>
          <w:rFonts w:hint="eastAsia" w:ascii="宋体" w:hAnsi="宋体"/>
          <w:bCs/>
          <w:kern w:val="0"/>
          <w:sz w:val="24"/>
          <w:szCs w:val="24"/>
        </w:rPr>
      </w:pPr>
      <w:r>
        <w:rPr>
          <w:rStyle w:val="9"/>
          <w:rFonts w:hint="eastAsia" w:ascii="宋体" w:hAnsi="宋体"/>
          <w:bCs/>
          <w:kern w:val="0"/>
          <w:sz w:val="24"/>
          <w:szCs w:val="24"/>
        </w:rPr>
        <w:t>项目全部硬件产品的免费质量保证期为1年,</w:t>
      </w:r>
      <w:r>
        <w:rPr>
          <w:rStyle w:val="9"/>
          <w:rFonts w:ascii="宋体" w:hAnsi="宋体"/>
          <w:bCs/>
          <w:kern w:val="0"/>
          <w:sz w:val="24"/>
          <w:szCs w:val="24"/>
        </w:rPr>
        <w:t>软件产品提供</w:t>
      </w:r>
      <w:r>
        <w:rPr>
          <w:rStyle w:val="9"/>
          <w:rFonts w:hint="eastAsia" w:ascii="宋体" w:hAnsi="宋体"/>
          <w:bCs/>
          <w:kern w:val="0"/>
          <w:sz w:val="24"/>
          <w:szCs w:val="24"/>
        </w:rPr>
        <w:t>3</w:t>
      </w:r>
      <w:r>
        <w:rPr>
          <w:rStyle w:val="9"/>
          <w:rFonts w:ascii="宋体" w:hAnsi="宋体"/>
          <w:bCs/>
          <w:kern w:val="0"/>
          <w:sz w:val="24"/>
          <w:szCs w:val="24"/>
        </w:rPr>
        <w:t>年维护和免费升级服务</w:t>
      </w:r>
      <w:r>
        <w:rPr>
          <w:rStyle w:val="9"/>
          <w:rFonts w:hint="eastAsia" w:ascii="宋体" w:hAnsi="宋体"/>
          <w:bCs/>
          <w:kern w:val="0"/>
          <w:sz w:val="24"/>
          <w:szCs w:val="24"/>
        </w:rPr>
        <w:t>，自整体项目验收合格之日起计算。在质保期内如果产品本身存在质量问题或者缺陷，而且该问题或者缺陷不是由买方或第三方引起的，乙方应在甲方规定期限内免费予以退换，否则甲方有权自行处理，由此产生的费用和后果由乙方承担。</w:t>
      </w:r>
    </w:p>
    <w:p>
      <w:pPr>
        <w:spacing w:line="360" w:lineRule="auto"/>
        <w:ind w:firstLine="480"/>
        <w:rPr>
          <w:rStyle w:val="9"/>
          <w:rFonts w:hint="eastAsia" w:ascii="宋体" w:hAnsi="宋体"/>
          <w:bCs/>
          <w:kern w:val="0"/>
          <w:sz w:val="24"/>
          <w:szCs w:val="24"/>
        </w:rPr>
      </w:pPr>
      <w:r>
        <w:rPr>
          <w:rStyle w:val="9"/>
          <w:rFonts w:hint="eastAsia" w:ascii="宋体" w:hAnsi="宋体"/>
          <w:bCs/>
          <w:kern w:val="0"/>
          <w:sz w:val="24"/>
          <w:szCs w:val="24"/>
        </w:rPr>
        <w:t>保修期后设备维护服务要求</w:t>
      </w:r>
      <w:r>
        <w:rPr>
          <w:rStyle w:val="9"/>
          <w:rFonts w:hint="eastAsia" w:ascii="宋体" w:hAnsi="宋体"/>
          <w:kern w:val="0"/>
          <w:sz w:val="24"/>
          <w:szCs w:val="24"/>
        </w:rPr>
        <w:t>：</w:t>
      </w:r>
    </w:p>
    <w:p>
      <w:pPr>
        <w:spacing w:line="360" w:lineRule="auto"/>
        <w:ind w:firstLine="480"/>
        <w:rPr>
          <w:rStyle w:val="9"/>
          <w:rFonts w:hint="eastAsia" w:ascii="宋体" w:hAnsi="宋体"/>
          <w:bCs/>
          <w:kern w:val="0"/>
          <w:sz w:val="24"/>
          <w:szCs w:val="24"/>
        </w:rPr>
      </w:pPr>
      <w:r>
        <w:rPr>
          <w:rStyle w:val="9"/>
          <w:rFonts w:hint="eastAsia" w:ascii="宋体" w:hAnsi="宋体"/>
          <w:bCs/>
          <w:kern w:val="0"/>
          <w:sz w:val="24"/>
          <w:szCs w:val="24"/>
        </w:rPr>
        <w:t>1.提供硬件维修或更换服务，更换备件应为原厂全新或符合行业标准的同等级产品，维持原厂备件供应及技术支持能力；</w:t>
      </w:r>
    </w:p>
    <w:p>
      <w:pPr>
        <w:spacing w:line="360" w:lineRule="auto"/>
        <w:ind w:firstLine="480"/>
        <w:rPr>
          <w:rStyle w:val="9"/>
          <w:rFonts w:hint="eastAsia" w:ascii="宋体" w:hAnsi="宋体"/>
          <w:bCs/>
          <w:kern w:val="0"/>
          <w:sz w:val="24"/>
          <w:szCs w:val="24"/>
        </w:rPr>
      </w:pPr>
      <w:r>
        <w:rPr>
          <w:rStyle w:val="9"/>
          <w:rFonts w:hint="eastAsia" w:ascii="宋体" w:hAnsi="宋体"/>
          <w:bCs/>
          <w:kern w:val="0"/>
          <w:sz w:val="24"/>
          <w:szCs w:val="24"/>
        </w:rPr>
        <w:t>2.软件系统免费升级（如涉及兼容性、安全性更新）；</w:t>
      </w:r>
    </w:p>
    <w:p>
      <w:pPr>
        <w:spacing w:line="360" w:lineRule="auto"/>
        <w:ind w:firstLine="480"/>
        <w:rPr>
          <w:rStyle w:val="9"/>
          <w:rFonts w:hint="eastAsia" w:ascii="宋体" w:hAnsi="宋体"/>
          <w:bCs/>
          <w:kern w:val="0"/>
          <w:sz w:val="24"/>
          <w:szCs w:val="24"/>
        </w:rPr>
      </w:pPr>
      <w:r>
        <w:rPr>
          <w:rStyle w:val="9"/>
          <w:rFonts w:hint="eastAsia" w:ascii="宋体" w:hAnsi="宋体"/>
          <w:bCs/>
          <w:kern w:val="0"/>
          <w:sz w:val="24"/>
          <w:szCs w:val="24"/>
        </w:rPr>
        <w:t>3.故障响应时限不超过10分钟（线上支持）或24小时（现场服务），直播中断超10分钟等重大故障需提供应急解决方案；</w:t>
      </w:r>
    </w:p>
    <w:p>
      <w:pPr>
        <w:spacing w:line="360" w:lineRule="auto"/>
        <w:ind w:firstLine="480"/>
        <w:rPr>
          <w:rStyle w:val="9"/>
          <w:rFonts w:hint="eastAsia" w:ascii="宋体" w:hAnsi="宋体"/>
          <w:bCs/>
          <w:kern w:val="0"/>
          <w:sz w:val="24"/>
          <w:szCs w:val="24"/>
        </w:rPr>
      </w:pPr>
      <w:r>
        <w:rPr>
          <w:rStyle w:val="9"/>
          <w:rFonts w:hint="eastAsia" w:ascii="宋体" w:hAnsi="宋体"/>
          <w:bCs/>
          <w:kern w:val="0"/>
          <w:sz w:val="24"/>
          <w:szCs w:val="24"/>
        </w:rPr>
        <w:t>4.提供定期巡检服务（每年不少于2次），包括设备性能检测、系统优化及潜在故障排查。</w:t>
      </w:r>
    </w:p>
    <w:p>
      <w:pPr>
        <w:spacing w:line="360" w:lineRule="auto"/>
        <w:ind w:firstLine="480"/>
        <w:rPr>
          <w:rStyle w:val="9"/>
          <w:rFonts w:hint="eastAsia" w:ascii="宋体" w:hAnsi="宋体"/>
          <w:bCs/>
          <w:kern w:val="0"/>
          <w:sz w:val="24"/>
          <w:szCs w:val="24"/>
        </w:rPr>
      </w:pPr>
      <w:r>
        <w:rPr>
          <w:rStyle w:val="9"/>
          <w:rFonts w:hint="eastAsia" w:ascii="宋体" w:hAnsi="宋体"/>
          <w:bCs/>
          <w:kern w:val="0"/>
          <w:sz w:val="24"/>
          <w:szCs w:val="24"/>
        </w:rPr>
        <w:t>服务团队要求</w:t>
      </w:r>
    </w:p>
    <w:p>
      <w:pPr>
        <w:spacing w:line="360" w:lineRule="auto"/>
        <w:ind w:firstLine="480"/>
        <w:rPr>
          <w:rStyle w:val="9"/>
          <w:rFonts w:hint="eastAsia" w:ascii="宋体" w:hAnsi="宋体"/>
          <w:kern w:val="0"/>
          <w:sz w:val="24"/>
          <w:szCs w:val="24"/>
        </w:rPr>
      </w:pPr>
      <w:r>
        <w:rPr>
          <w:rStyle w:val="9"/>
          <w:rFonts w:hint="eastAsia" w:ascii="宋体" w:hAnsi="宋体"/>
          <w:bCs/>
          <w:kern w:val="0"/>
          <w:sz w:val="24"/>
          <w:szCs w:val="24"/>
        </w:rPr>
        <w:t>团队成员应具备丰富的视频直播保障经验，应熟悉南方+平台的直播业务流程和具体需求，能够快速响应并有效解决直播过程中出现的技术问题。</w:t>
      </w:r>
    </w:p>
    <w:p>
      <w:pPr>
        <w:spacing w:line="360" w:lineRule="auto"/>
        <w:rPr>
          <w:rStyle w:val="9"/>
          <w:rFonts w:hint="eastAsia" w:ascii="宋体" w:hAnsi="宋体"/>
          <w:b/>
          <w:bCs/>
          <w:kern w:val="0"/>
          <w:sz w:val="24"/>
          <w:szCs w:val="24"/>
        </w:rPr>
      </w:pPr>
      <w:r>
        <w:rPr>
          <w:rStyle w:val="9"/>
          <w:rFonts w:hint="eastAsia" w:ascii="宋体" w:hAnsi="宋体"/>
          <w:b/>
          <w:bCs/>
          <w:kern w:val="0"/>
          <w:sz w:val="24"/>
          <w:szCs w:val="24"/>
        </w:rPr>
        <w:t>九、违约责任</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9.</w:t>
      </w:r>
      <w:r>
        <w:rPr>
          <w:rStyle w:val="9"/>
          <w:rFonts w:hint="eastAsia" w:ascii="宋体" w:hAnsi="宋体"/>
          <w:kern w:val="0"/>
          <w:sz w:val="24"/>
          <w:szCs w:val="24"/>
        </w:rPr>
        <w:t>1乙方迟延交付产品的，每迟延一日，应当向甲方支付合同总价款</w:t>
      </w:r>
      <w:r>
        <w:rPr>
          <w:rStyle w:val="9"/>
          <w:rFonts w:ascii="宋体" w:hAnsi="宋体"/>
          <w:kern w:val="0"/>
          <w:sz w:val="24"/>
          <w:szCs w:val="24"/>
        </w:rPr>
        <w:t>0.5%</w:t>
      </w:r>
      <w:r>
        <w:rPr>
          <w:rStyle w:val="9"/>
          <w:rFonts w:hint="eastAsia" w:ascii="宋体" w:hAnsi="宋体"/>
          <w:kern w:val="0"/>
          <w:sz w:val="24"/>
          <w:szCs w:val="24"/>
        </w:rPr>
        <w:t>的违约金。迟延超过</w:t>
      </w:r>
      <w:r>
        <w:rPr>
          <w:rStyle w:val="9"/>
          <w:rFonts w:ascii="宋体" w:hAnsi="宋体"/>
          <w:kern w:val="0"/>
          <w:sz w:val="24"/>
          <w:szCs w:val="24"/>
        </w:rPr>
        <w:t>15</w:t>
      </w:r>
      <w:r>
        <w:rPr>
          <w:rStyle w:val="9"/>
          <w:rFonts w:hint="eastAsia" w:ascii="宋体" w:hAnsi="宋体"/>
          <w:kern w:val="0"/>
          <w:sz w:val="24"/>
          <w:szCs w:val="24"/>
        </w:rPr>
        <w:t>日，甲方有权解除合同，无需向乙方支付任何费用，乙方应退还预付款，同时甲方有权要求乙方赔偿由此给甲方造成的经济损失及向甲方支付合同总价款</w:t>
      </w:r>
      <w:r>
        <w:rPr>
          <w:rStyle w:val="9"/>
          <w:rFonts w:ascii="宋体" w:hAnsi="宋体"/>
          <w:kern w:val="0"/>
          <w:sz w:val="24"/>
          <w:szCs w:val="24"/>
        </w:rPr>
        <w:t>10%</w:t>
      </w:r>
      <w:r>
        <w:rPr>
          <w:rStyle w:val="9"/>
          <w:rFonts w:hint="eastAsia" w:ascii="宋体" w:hAnsi="宋体"/>
          <w:kern w:val="0"/>
          <w:sz w:val="24"/>
          <w:szCs w:val="24"/>
        </w:rPr>
        <w:t>的违约金。</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9.</w:t>
      </w:r>
      <w:r>
        <w:rPr>
          <w:rStyle w:val="9"/>
          <w:rFonts w:hint="eastAsia" w:ascii="宋体" w:hAnsi="宋体"/>
          <w:kern w:val="0"/>
          <w:sz w:val="24"/>
          <w:szCs w:val="24"/>
        </w:rPr>
        <w:t>2货物经甲方验收不合格，乙方应在甲方规定期限内退换货，乙方拒绝退换货或经退换货后仍不合格的，甲方有权单方面解除合同，乙方应退还预付款并承担合同总价款</w:t>
      </w:r>
      <w:r>
        <w:rPr>
          <w:rStyle w:val="9"/>
          <w:rFonts w:ascii="宋体" w:hAnsi="宋体"/>
          <w:kern w:val="0"/>
          <w:sz w:val="24"/>
          <w:szCs w:val="24"/>
        </w:rPr>
        <w:t>10%</w:t>
      </w:r>
      <w:r>
        <w:rPr>
          <w:rStyle w:val="9"/>
          <w:rFonts w:hint="eastAsia" w:ascii="宋体" w:hAnsi="宋体"/>
          <w:kern w:val="0"/>
          <w:sz w:val="24"/>
          <w:szCs w:val="24"/>
        </w:rPr>
        <w:t>的违约金，并且赔偿甲方经济损失。</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9.</w:t>
      </w:r>
      <w:r>
        <w:rPr>
          <w:rStyle w:val="9"/>
          <w:rFonts w:hint="eastAsia" w:ascii="宋体" w:hAnsi="宋体"/>
          <w:kern w:val="0"/>
          <w:sz w:val="24"/>
          <w:szCs w:val="24"/>
        </w:rPr>
        <w:t>3本合同因乙方原因提前解除的，乙方应返还甲方已支付的合同价款，向甲方支付合同总价款</w:t>
      </w:r>
      <w:r>
        <w:rPr>
          <w:rStyle w:val="9"/>
          <w:rFonts w:ascii="宋体" w:hAnsi="宋体"/>
          <w:kern w:val="0"/>
          <w:sz w:val="24"/>
          <w:szCs w:val="24"/>
        </w:rPr>
        <w:t>10%</w:t>
      </w:r>
      <w:r>
        <w:rPr>
          <w:rStyle w:val="9"/>
          <w:rFonts w:hint="eastAsia" w:ascii="宋体" w:hAnsi="宋体"/>
          <w:kern w:val="0"/>
          <w:sz w:val="24"/>
          <w:szCs w:val="24"/>
        </w:rPr>
        <w:t>的违约金，并赔偿甲方由此造成的全部损失。</w:t>
      </w:r>
    </w:p>
    <w:p>
      <w:pPr>
        <w:spacing w:line="360" w:lineRule="auto"/>
        <w:rPr>
          <w:rStyle w:val="9"/>
          <w:rFonts w:hint="eastAsia" w:ascii="宋体" w:hAnsi="宋体"/>
          <w:b/>
          <w:bCs/>
          <w:kern w:val="0"/>
          <w:sz w:val="24"/>
          <w:szCs w:val="24"/>
        </w:rPr>
      </w:pPr>
      <w:r>
        <w:rPr>
          <w:rStyle w:val="9"/>
          <w:rFonts w:hint="eastAsia" w:ascii="宋体" w:hAnsi="宋体"/>
          <w:b/>
          <w:bCs/>
          <w:kern w:val="0"/>
          <w:sz w:val="24"/>
          <w:szCs w:val="24"/>
        </w:rPr>
        <w:t>十、不可抗力</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10.1</w:t>
      </w:r>
      <w:r>
        <w:rPr>
          <w:rStyle w:val="9"/>
          <w:rFonts w:hint="eastAsia" w:ascii="宋体" w:hAnsi="宋体"/>
          <w:kern w:val="0"/>
          <w:sz w:val="24"/>
          <w:szCs w:val="24"/>
        </w:rPr>
        <w:t>本合同所称的不可抗力指人力不可预见、不可避免和不可抗拒的自然灾害和事件。</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10.2</w:t>
      </w:r>
      <w:r>
        <w:rPr>
          <w:rStyle w:val="9"/>
          <w:rFonts w:hint="eastAsia" w:ascii="宋体" w:hAnsi="宋体"/>
          <w:kern w:val="0"/>
          <w:sz w:val="24"/>
          <w:szCs w:val="24"/>
        </w:rPr>
        <w:t>受不可抗力影响的一方应在出现不可抗力情形的二十四小时内通知另一方，并在七日内提供不可抗力事件的书面证明材料。</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10.3</w:t>
      </w:r>
      <w:r>
        <w:rPr>
          <w:rStyle w:val="9"/>
          <w:rFonts w:hint="eastAsia" w:ascii="宋体" w:hAnsi="宋体"/>
          <w:kern w:val="0"/>
          <w:sz w:val="24"/>
          <w:szCs w:val="24"/>
        </w:rPr>
        <w:t>不可抗力事件终止或者被排除后，受阻方应继续履行本合同并尽快通知另一方。</w:t>
      </w:r>
    </w:p>
    <w:p>
      <w:pPr>
        <w:spacing w:line="360" w:lineRule="auto"/>
        <w:ind w:firstLine="480"/>
        <w:rPr>
          <w:rStyle w:val="9"/>
          <w:rFonts w:hint="eastAsia" w:ascii="宋体" w:hAnsi="宋体"/>
          <w:kern w:val="0"/>
          <w:sz w:val="24"/>
          <w:szCs w:val="24"/>
        </w:rPr>
      </w:pPr>
      <w:r>
        <w:rPr>
          <w:rStyle w:val="9"/>
          <w:rFonts w:ascii="宋体" w:hAnsi="宋体"/>
          <w:kern w:val="0"/>
          <w:sz w:val="24"/>
          <w:szCs w:val="24"/>
        </w:rPr>
        <w:t>10.4</w:t>
      </w:r>
      <w:r>
        <w:rPr>
          <w:rStyle w:val="9"/>
          <w:rFonts w:hint="eastAsia" w:ascii="宋体" w:hAnsi="宋体"/>
          <w:kern w:val="0"/>
          <w:sz w:val="24"/>
          <w:szCs w:val="24"/>
        </w:rPr>
        <w:t>如不可抗力事件的影响持续达到三十天或以上时，双方应根据该事件对本合同履行的影响程度协商对本合同的修改或终止。协商无法一致时，任何一方均有权解除合同而无须承担违约责任。</w:t>
      </w:r>
    </w:p>
    <w:p>
      <w:pPr>
        <w:spacing w:line="360" w:lineRule="auto"/>
        <w:rPr>
          <w:rStyle w:val="9"/>
          <w:rFonts w:hint="eastAsia" w:ascii="宋体" w:hAnsi="宋体"/>
          <w:b/>
          <w:bCs/>
          <w:kern w:val="0"/>
          <w:sz w:val="24"/>
          <w:szCs w:val="24"/>
        </w:rPr>
      </w:pPr>
      <w:r>
        <w:rPr>
          <w:rStyle w:val="9"/>
          <w:rFonts w:hint="eastAsia" w:ascii="宋体" w:hAnsi="宋体"/>
          <w:b/>
          <w:bCs/>
          <w:kern w:val="0"/>
          <w:sz w:val="24"/>
          <w:szCs w:val="24"/>
        </w:rPr>
        <w:t>十一、争议解决</w:t>
      </w:r>
    </w:p>
    <w:p>
      <w:pPr>
        <w:spacing w:line="360" w:lineRule="auto"/>
        <w:ind w:firstLine="480"/>
        <w:rPr>
          <w:rStyle w:val="9"/>
          <w:rFonts w:hint="eastAsia" w:ascii="宋体" w:hAnsi="宋体"/>
          <w:kern w:val="0"/>
          <w:sz w:val="24"/>
          <w:szCs w:val="24"/>
        </w:rPr>
      </w:pPr>
      <w:r>
        <w:rPr>
          <w:rStyle w:val="9"/>
          <w:rFonts w:hint="eastAsia" w:ascii="宋体" w:hAnsi="宋体"/>
          <w:kern w:val="0"/>
          <w:sz w:val="24"/>
          <w:szCs w:val="24"/>
        </w:rPr>
        <w:t>因在合同及本合同履行过程中的一切纠纷，双方应友好协商解决。如协商仍达不成协议，可在甲方所在地有管辖权的人民法院提起诉讼，由此产生的诉讼费、律师费、财产保全费及财产保全保险费等合理维权费用由责任方承担。</w:t>
      </w:r>
    </w:p>
    <w:p>
      <w:pPr>
        <w:spacing w:line="360" w:lineRule="auto"/>
        <w:rPr>
          <w:rStyle w:val="9"/>
          <w:rFonts w:hint="eastAsia" w:ascii="宋体" w:hAnsi="宋体"/>
          <w:b/>
          <w:bCs/>
          <w:kern w:val="0"/>
          <w:sz w:val="24"/>
          <w:szCs w:val="24"/>
        </w:rPr>
      </w:pPr>
      <w:r>
        <w:rPr>
          <w:rStyle w:val="9"/>
          <w:rFonts w:hint="eastAsia" w:ascii="宋体" w:hAnsi="宋体"/>
          <w:b/>
          <w:bCs/>
          <w:kern w:val="0"/>
          <w:sz w:val="24"/>
          <w:szCs w:val="24"/>
        </w:rPr>
        <w:t>十二、附则</w:t>
      </w:r>
    </w:p>
    <w:p>
      <w:pPr>
        <w:spacing w:line="360" w:lineRule="auto"/>
        <w:rPr>
          <w:rStyle w:val="9"/>
          <w:rFonts w:hint="eastAsia" w:ascii="宋体" w:hAnsi="宋体"/>
          <w:kern w:val="0"/>
          <w:sz w:val="24"/>
          <w:szCs w:val="24"/>
        </w:rPr>
      </w:pPr>
      <w:r>
        <w:rPr>
          <w:rStyle w:val="9"/>
          <w:rFonts w:ascii="宋体" w:hAnsi="宋体"/>
          <w:kern w:val="0"/>
          <w:sz w:val="24"/>
          <w:szCs w:val="24"/>
        </w:rPr>
        <w:t xml:space="preserve">    12.1</w:t>
      </w:r>
      <w:r>
        <w:rPr>
          <w:rStyle w:val="9"/>
          <w:rFonts w:hint="eastAsia" w:ascii="宋体" w:hAnsi="宋体"/>
          <w:spacing w:val="-4"/>
          <w:kern w:val="0"/>
          <w:sz w:val="24"/>
          <w:szCs w:val="24"/>
        </w:rPr>
        <w:t>本合同自</w:t>
      </w:r>
      <w:r>
        <w:rPr>
          <w:rStyle w:val="9"/>
          <w:rFonts w:hint="eastAsia" w:ascii="宋体" w:hAnsi="宋体"/>
          <w:kern w:val="0"/>
          <w:sz w:val="24"/>
          <w:szCs w:val="24"/>
        </w:rPr>
        <w:t>双方法定代表人或授权代表签字并加盖公章或合同专用章之日起生效，合同文本一式四份，甲方执两份，乙方执两份，具有同等法律效力</w:t>
      </w:r>
      <w:r>
        <w:rPr>
          <w:rStyle w:val="9"/>
          <w:rFonts w:hint="eastAsia" w:ascii="宋体" w:hAnsi="宋体"/>
          <w:spacing w:val="-4"/>
          <w:kern w:val="0"/>
          <w:sz w:val="24"/>
          <w:szCs w:val="24"/>
        </w:rPr>
        <w:t>。</w:t>
      </w:r>
    </w:p>
    <w:p>
      <w:pPr>
        <w:spacing w:line="360" w:lineRule="auto"/>
        <w:ind w:firstLine="435"/>
        <w:rPr>
          <w:rStyle w:val="9"/>
          <w:rFonts w:hint="eastAsia" w:ascii="宋体" w:hAnsi="宋体"/>
          <w:kern w:val="0"/>
          <w:sz w:val="24"/>
          <w:szCs w:val="24"/>
        </w:rPr>
      </w:pPr>
      <w:r>
        <w:rPr>
          <w:rStyle w:val="9"/>
          <w:rFonts w:ascii="宋体" w:hAnsi="宋体"/>
          <w:kern w:val="0"/>
          <w:sz w:val="24"/>
          <w:szCs w:val="24"/>
        </w:rPr>
        <w:t>12.2</w:t>
      </w:r>
      <w:r>
        <w:rPr>
          <w:rStyle w:val="9"/>
          <w:rFonts w:hint="eastAsia" w:ascii="宋体" w:hAnsi="宋体"/>
          <w:kern w:val="0"/>
          <w:sz w:val="24"/>
          <w:szCs w:val="24"/>
        </w:rPr>
        <w:t>合同附件为本合同组成部分，与本合同正文具有同等法律效力。</w:t>
      </w:r>
    </w:p>
    <w:p>
      <w:pPr>
        <w:spacing w:line="360" w:lineRule="auto"/>
        <w:ind w:firstLine="435"/>
        <w:rPr>
          <w:rStyle w:val="9"/>
          <w:rFonts w:hint="eastAsia" w:ascii="宋体" w:hAnsi="宋体"/>
          <w:kern w:val="0"/>
          <w:sz w:val="24"/>
          <w:szCs w:val="24"/>
        </w:rPr>
      </w:pPr>
      <w:r>
        <w:rPr>
          <w:rStyle w:val="9"/>
          <w:rFonts w:ascii="宋体" w:hAnsi="宋体"/>
          <w:kern w:val="0"/>
          <w:sz w:val="24"/>
          <w:szCs w:val="24"/>
        </w:rPr>
        <w:t>12.3</w:t>
      </w:r>
      <w:r>
        <w:rPr>
          <w:rStyle w:val="9"/>
          <w:rFonts w:hint="eastAsia" w:ascii="宋体" w:hAnsi="宋体"/>
          <w:kern w:val="0"/>
          <w:sz w:val="24"/>
          <w:szCs w:val="24"/>
        </w:rPr>
        <w:t>本合同未尽事宜，应由双方协商解决。如对本合同及附件做任何修改或补充，须双方以书面形式做出方为有效。修改或补充文件与本合同有不一致的，以修改或补充文件为准。</w:t>
      </w:r>
    </w:p>
    <w:p>
      <w:pPr>
        <w:spacing w:line="360" w:lineRule="auto"/>
        <w:ind w:left="525" w:hanging="523"/>
        <w:rPr>
          <w:rStyle w:val="9"/>
          <w:rFonts w:hint="eastAsia" w:ascii="宋体" w:hAnsi="宋体"/>
          <w:b/>
          <w:bCs/>
          <w:kern w:val="0"/>
          <w:sz w:val="24"/>
          <w:szCs w:val="24"/>
        </w:rPr>
      </w:pPr>
      <w:r>
        <w:rPr>
          <w:rStyle w:val="9"/>
          <w:rFonts w:hint="eastAsia" w:ascii="宋体" w:hAnsi="宋体"/>
          <w:b/>
          <w:bCs/>
          <w:kern w:val="0"/>
          <w:sz w:val="24"/>
          <w:szCs w:val="24"/>
        </w:rPr>
        <w:t>十三、合同附件</w:t>
      </w:r>
    </w:p>
    <w:p>
      <w:pPr>
        <w:spacing w:line="360" w:lineRule="auto"/>
        <w:ind w:left="523" w:hanging="523"/>
        <w:rPr>
          <w:rStyle w:val="9"/>
          <w:rFonts w:hint="eastAsia" w:ascii="宋体" w:hAnsi="宋体"/>
          <w:kern w:val="0"/>
          <w:sz w:val="24"/>
          <w:szCs w:val="24"/>
        </w:rPr>
      </w:pPr>
      <w:r>
        <w:rPr>
          <w:rStyle w:val="9"/>
          <w:rFonts w:ascii="宋体" w:hAnsi="宋体"/>
          <w:kern w:val="0"/>
          <w:sz w:val="24"/>
          <w:szCs w:val="24"/>
        </w:rPr>
        <w:t xml:space="preserve">    </w:t>
      </w:r>
      <w:r>
        <w:rPr>
          <w:rStyle w:val="9"/>
          <w:rFonts w:hint="eastAsia" w:ascii="宋体" w:hAnsi="宋体"/>
          <w:kern w:val="0"/>
          <w:sz w:val="24"/>
          <w:szCs w:val="24"/>
        </w:rPr>
        <w:t>（以下无正文，仅为本合同签字内容）</w:t>
      </w:r>
    </w:p>
    <w:p>
      <w:pPr>
        <w:spacing w:line="360" w:lineRule="auto"/>
        <w:ind w:left="523" w:hanging="523"/>
        <w:rPr>
          <w:rStyle w:val="9"/>
          <w:rFonts w:hint="eastAsia" w:ascii="宋体" w:hAnsi="宋体"/>
          <w:kern w:val="0"/>
          <w:sz w:val="24"/>
          <w:szCs w:val="24"/>
        </w:rPr>
      </w:pPr>
    </w:p>
    <w:p>
      <w:pPr>
        <w:spacing w:line="360" w:lineRule="auto"/>
        <w:ind w:left="523" w:hanging="523"/>
        <w:rPr>
          <w:rStyle w:val="9"/>
          <w:rFonts w:hint="eastAsia" w:ascii="宋体" w:hAnsi="宋体"/>
          <w:kern w:val="0"/>
          <w:sz w:val="24"/>
          <w:szCs w:val="24"/>
        </w:rPr>
      </w:pPr>
      <w:r>
        <w:rPr>
          <w:rStyle w:val="9"/>
          <w:rFonts w:hint="eastAsia" w:ascii="宋体" w:hAnsi="宋体"/>
          <w:kern w:val="0"/>
          <w:sz w:val="24"/>
          <w:szCs w:val="24"/>
        </w:rPr>
        <w:t>甲方（公章/合同专用章）：</w:t>
      </w:r>
      <w:r>
        <w:rPr>
          <w:rStyle w:val="9"/>
          <w:rFonts w:ascii="宋体" w:hAnsi="宋体"/>
          <w:kern w:val="0"/>
          <w:sz w:val="24"/>
          <w:szCs w:val="24"/>
        </w:rPr>
        <w:t xml:space="preserve">                  </w:t>
      </w:r>
      <w:r>
        <w:rPr>
          <w:rStyle w:val="9"/>
          <w:rFonts w:hint="eastAsia" w:ascii="宋体" w:hAnsi="宋体"/>
          <w:kern w:val="0"/>
          <w:sz w:val="24"/>
          <w:szCs w:val="24"/>
        </w:rPr>
        <w:t xml:space="preserve">    乙方（公章/合同专用章）：</w:t>
      </w:r>
      <w:r>
        <w:rPr>
          <w:rStyle w:val="9"/>
          <w:rFonts w:ascii="宋体" w:hAnsi="宋体"/>
          <w:kern w:val="0"/>
          <w:sz w:val="24"/>
          <w:szCs w:val="24"/>
        </w:rPr>
        <w:t xml:space="preserve"> </w:t>
      </w:r>
    </w:p>
    <w:p>
      <w:pPr>
        <w:spacing w:line="360" w:lineRule="auto"/>
        <w:ind w:left="523" w:hanging="523"/>
        <w:rPr>
          <w:rStyle w:val="9"/>
          <w:rFonts w:hint="eastAsia" w:ascii="宋体" w:hAnsi="宋体"/>
          <w:b/>
          <w:bCs/>
          <w:kern w:val="0"/>
          <w:sz w:val="24"/>
          <w:szCs w:val="24"/>
        </w:rPr>
      </w:pPr>
      <w:r>
        <w:rPr>
          <w:rStyle w:val="9"/>
          <w:rFonts w:ascii="宋体" w:hAnsi="宋体"/>
          <w:b/>
          <w:bCs/>
          <w:kern w:val="0"/>
          <w:sz w:val="24"/>
          <w:szCs w:val="24"/>
        </w:rPr>
        <w:t xml:space="preserve">                </w:t>
      </w:r>
      <w:r>
        <w:rPr>
          <w:rStyle w:val="9"/>
          <w:rFonts w:hint="eastAsia" w:ascii="宋体" w:hAnsi="宋体"/>
          <w:b/>
          <w:bCs/>
          <w:kern w:val="0"/>
          <w:sz w:val="24"/>
          <w:szCs w:val="24"/>
        </w:rPr>
        <w:t xml:space="preserve"> </w:t>
      </w:r>
    </w:p>
    <w:p>
      <w:pPr>
        <w:spacing w:line="360" w:lineRule="auto"/>
        <w:rPr>
          <w:rStyle w:val="9"/>
          <w:rFonts w:hint="eastAsia" w:ascii="宋体" w:hAnsi="宋体"/>
          <w:kern w:val="0"/>
          <w:sz w:val="24"/>
          <w:szCs w:val="24"/>
        </w:rPr>
      </w:pPr>
      <w:r>
        <w:rPr>
          <w:rStyle w:val="9"/>
          <w:rFonts w:hint="eastAsia" w:ascii="宋体" w:hAnsi="宋体"/>
          <w:kern w:val="0"/>
          <w:sz w:val="24"/>
          <w:szCs w:val="24"/>
        </w:rPr>
        <w:t>法定（或授权）代表人：</w:t>
      </w:r>
      <w:r>
        <w:rPr>
          <w:rStyle w:val="9"/>
          <w:rFonts w:ascii="宋体" w:hAnsi="宋体"/>
          <w:kern w:val="0"/>
          <w:sz w:val="24"/>
          <w:szCs w:val="24"/>
        </w:rPr>
        <w:t xml:space="preserve">                 </w:t>
      </w:r>
      <w:r>
        <w:rPr>
          <w:rStyle w:val="9"/>
          <w:rFonts w:hint="eastAsia" w:ascii="宋体" w:hAnsi="宋体"/>
          <w:kern w:val="0"/>
          <w:sz w:val="24"/>
          <w:szCs w:val="24"/>
        </w:rPr>
        <w:t xml:space="preserve">    法定（或授权）代表人：</w:t>
      </w:r>
    </w:p>
    <w:p>
      <w:pPr>
        <w:spacing w:line="360" w:lineRule="auto"/>
        <w:rPr>
          <w:rStyle w:val="9"/>
          <w:rFonts w:hint="eastAsia" w:ascii="宋体" w:hAnsi="宋体"/>
          <w:sz w:val="20"/>
        </w:rPr>
      </w:pPr>
      <w:r>
        <w:rPr>
          <w:rStyle w:val="9"/>
          <w:rFonts w:hint="eastAsia" w:ascii="宋体" w:hAnsi="宋体"/>
          <w:kern w:val="0"/>
          <w:sz w:val="24"/>
          <w:szCs w:val="24"/>
        </w:rPr>
        <w:t>签订日期：</w:t>
      </w:r>
      <w:r>
        <w:rPr>
          <w:rStyle w:val="9"/>
          <w:rFonts w:ascii="宋体" w:hAnsi="宋体"/>
          <w:kern w:val="0"/>
          <w:sz w:val="24"/>
          <w:szCs w:val="24"/>
        </w:rPr>
        <w:t xml:space="preserve"> 202</w:t>
      </w:r>
      <w:r>
        <w:rPr>
          <w:rStyle w:val="9"/>
          <w:rFonts w:hint="eastAsia" w:ascii="宋体" w:hAnsi="宋体"/>
          <w:kern w:val="0"/>
          <w:sz w:val="24"/>
          <w:szCs w:val="24"/>
        </w:rPr>
        <w:t>5年</w:t>
      </w:r>
      <w:r>
        <w:rPr>
          <w:rStyle w:val="9"/>
          <w:rFonts w:ascii="宋体" w:hAnsi="宋体"/>
          <w:kern w:val="0"/>
          <w:sz w:val="24"/>
          <w:szCs w:val="24"/>
        </w:rPr>
        <w:t xml:space="preserve">  </w:t>
      </w:r>
      <w:r>
        <w:rPr>
          <w:rStyle w:val="9"/>
          <w:rFonts w:hint="eastAsia" w:ascii="宋体" w:hAnsi="宋体"/>
          <w:kern w:val="0"/>
          <w:sz w:val="24"/>
          <w:szCs w:val="24"/>
        </w:rPr>
        <w:t xml:space="preserve"> 月</w:t>
      </w:r>
      <w:r>
        <w:rPr>
          <w:rStyle w:val="9"/>
          <w:rFonts w:ascii="宋体" w:hAnsi="宋体"/>
          <w:kern w:val="0"/>
          <w:sz w:val="24"/>
          <w:szCs w:val="24"/>
        </w:rPr>
        <w:t xml:space="preserve">  </w:t>
      </w:r>
      <w:r>
        <w:rPr>
          <w:rStyle w:val="9"/>
          <w:rFonts w:hint="eastAsia" w:ascii="宋体" w:hAnsi="宋体"/>
          <w:kern w:val="0"/>
          <w:sz w:val="24"/>
          <w:szCs w:val="24"/>
        </w:rPr>
        <w:t xml:space="preserve"> 日</w:t>
      </w:r>
      <w:r>
        <w:rPr>
          <w:rStyle w:val="9"/>
          <w:rFonts w:ascii="宋体" w:hAnsi="宋体"/>
          <w:kern w:val="0"/>
          <w:sz w:val="24"/>
          <w:szCs w:val="24"/>
        </w:rPr>
        <w:t xml:space="preserve">             </w:t>
      </w:r>
      <w:r>
        <w:rPr>
          <w:rStyle w:val="9"/>
          <w:rFonts w:hint="eastAsia" w:ascii="宋体" w:hAnsi="宋体"/>
          <w:kern w:val="0"/>
          <w:sz w:val="24"/>
          <w:szCs w:val="24"/>
        </w:rPr>
        <w:t xml:space="preserve">  签订日期：</w:t>
      </w:r>
      <w:r>
        <w:rPr>
          <w:rStyle w:val="9"/>
          <w:rFonts w:ascii="宋体" w:hAnsi="宋体"/>
          <w:kern w:val="0"/>
          <w:sz w:val="24"/>
          <w:szCs w:val="24"/>
        </w:rPr>
        <w:t>202</w:t>
      </w:r>
      <w:r>
        <w:rPr>
          <w:rStyle w:val="9"/>
          <w:rFonts w:hint="eastAsia" w:ascii="宋体" w:hAnsi="宋体"/>
          <w:kern w:val="0"/>
          <w:sz w:val="24"/>
          <w:szCs w:val="24"/>
        </w:rPr>
        <w:t>5年</w:t>
      </w:r>
      <w:r>
        <w:rPr>
          <w:rStyle w:val="9"/>
          <w:rFonts w:ascii="宋体" w:hAnsi="宋体"/>
          <w:kern w:val="0"/>
          <w:sz w:val="24"/>
          <w:szCs w:val="24"/>
        </w:rPr>
        <w:t xml:space="preserve">  </w:t>
      </w:r>
      <w:r>
        <w:rPr>
          <w:rStyle w:val="9"/>
          <w:rFonts w:hint="eastAsia" w:ascii="宋体" w:hAnsi="宋体"/>
          <w:kern w:val="0"/>
          <w:sz w:val="24"/>
          <w:szCs w:val="24"/>
        </w:rPr>
        <w:t xml:space="preserve"> 月</w:t>
      </w:r>
      <w:r>
        <w:rPr>
          <w:rStyle w:val="9"/>
          <w:rFonts w:ascii="宋体" w:hAnsi="宋体"/>
          <w:kern w:val="0"/>
          <w:sz w:val="24"/>
          <w:szCs w:val="24"/>
        </w:rPr>
        <w:t xml:space="preserve">  </w:t>
      </w:r>
      <w:r>
        <w:rPr>
          <w:rStyle w:val="9"/>
          <w:rFonts w:hint="eastAsia" w:ascii="宋体" w:hAnsi="宋体"/>
          <w:kern w:val="0"/>
          <w:sz w:val="24"/>
          <w:szCs w:val="24"/>
        </w:rPr>
        <w:t xml:space="preserve"> 日</w:t>
      </w:r>
    </w:p>
    <w:p/>
    <w:sectPr>
      <w:footerReference r:id="rId3" w:type="even"/>
      <w:pgSz w:w="11906" w:h="16838"/>
      <w:pgMar w:top="1440" w:right="1080" w:bottom="1440" w:left="108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Arial"/>
    <w:panose1 w:val="020B0604020202020204"/>
    <w:charset w:val="80"/>
    <w:family w:val="swiss"/>
    <w:pitch w:val="default"/>
    <w:sig w:usb0="00000000" w:usb1="00000000" w:usb2="0000003F" w:usb3="00000000" w:csb0="603F01FF" w:csb1="FFFF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margin" w:hAnchor="text" w:xAlign="center" w:y="1"/>
      <w:rPr>
        <w:rStyle w:val="12"/>
      </w:rPr>
    </w:pPr>
  </w:p>
  <w:p>
    <w:pPr>
      <w:pStyle w:val="11"/>
      <w:rPr>
        <w:rStyle w:val="9"/>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2OGQyMzJjYzNiZWU3MTE2ODRiM2M1YjY2ODY5MDcifQ=="/>
  </w:docVars>
  <w:rsids>
    <w:rsidRoot w:val="7C196FBF"/>
    <w:rsid w:val="0005629B"/>
    <w:rsid w:val="000739D5"/>
    <w:rsid w:val="000F2EF3"/>
    <w:rsid w:val="000F5F61"/>
    <w:rsid w:val="001014B1"/>
    <w:rsid w:val="00175F61"/>
    <w:rsid w:val="001873A8"/>
    <w:rsid w:val="00197ADB"/>
    <w:rsid w:val="001D5FEA"/>
    <w:rsid w:val="00236C39"/>
    <w:rsid w:val="00243E89"/>
    <w:rsid w:val="00294087"/>
    <w:rsid w:val="00303E8C"/>
    <w:rsid w:val="0035779D"/>
    <w:rsid w:val="003843E8"/>
    <w:rsid w:val="003B78E6"/>
    <w:rsid w:val="00400987"/>
    <w:rsid w:val="00403C29"/>
    <w:rsid w:val="00412D6A"/>
    <w:rsid w:val="004468A8"/>
    <w:rsid w:val="004C57A8"/>
    <w:rsid w:val="0050328C"/>
    <w:rsid w:val="005326AF"/>
    <w:rsid w:val="00745275"/>
    <w:rsid w:val="00755510"/>
    <w:rsid w:val="00782B89"/>
    <w:rsid w:val="008267D4"/>
    <w:rsid w:val="0085313A"/>
    <w:rsid w:val="00895338"/>
    <w:rsid w:val="008C772C"/>
    <w:rsid w:val="008E23D8"/>
    <w:rsid w:val="008F20EE"/>
    <w:rsid w:val="009324A1"/>
    <w:rsid w:val="00976153"/>
    <w:rsid w:val="00A216D5"/>
    <w:rsid w:val="00AB1EE2"/>
    <w:rsid w:val="00B026F3"/>
    <w:rsid w:val="00B041F8"/>
    <w:rsid w:val="00B47C25"/>
    <w:rsid w:val="00C92965"/>
    <w:rsid w:val="00D04E56"/>
    <w:rsid w:val="00D17423"/>
    <w:rsid w:val="00D20066"/>
    <w:rsid w:val="00D45EF3"/>
    <w:rsid w:val="00DC33AD"/>
    <w:rsid w:val="00E24FD6"/>
    <w:rsid w:val="00EF5C55"/>
    <w:rsid w:val="01541DDC"/>
    <w:rsid w:val="01DB0A71"/>
    <w:rsid w:val="01FB14E9"/>
    <w:rsid w:val="035E5043"/>
    <w:rsid w:val="036B76CF"/>
    <w:rsid w:val="049A2C5D"/>
    <w:rsid w:val="04CD2AC7"/>
    <w:rsid w:val="059B0F01"/>
    <w:rsid w:val="06CE33BE"/>
    <w:rsid w:val="07351FDB"/>
    <w:rsid w:val="093323A4"/>
    <w:rsid w:val="09465BE5"/>
    <w:rsid w:val="0A280A67"/>
    <w:rsid w:val="0B090DAA"/>
    <w:rsid w:val="0BF8619C"/>
    <w:rsid w:val="0D03219D"/>
    <w:rsid w:val="0D374D2A"/>
    <w:rsid w:val="0D3C7A07"/>
    <w:rsid w:val="0D76063D"/>
    <w:rsid w:val="0FAA313C"/>
    <w:rsid w:val="0FC54BFB"/>
    <w:rsid w:val="0FC851D9"/>
    <w:rsid w:val="11214C9F"/>
    <w:rsid w:val="1189399B"/>
    <w:rsid w:val="12554BD3"/>
    <w:rsid w:val="128B14A3"/>
    <w:rsid w:val="145536B6"/>
    <w:rsid w:val="14A91649"/>
    <w:rsid w:val="14B32A47"/>
    <w:rsid w:val="14B74474"/>
    <w:rsid w:val="156D36E0"/>
    <w:rsid w:val="15B16039"/>
    <w:rsid w:val="167926B3"/>
    <w:rsid w:val="167E36CE"/>
    <w:rsid w:val="169B1919"/>
    <w:rsid w:val="16DE0432"/>
    <w:rsid w:val="1757262F"/>
    <w:rsid w:val="17D4450D"/>
    <w:rsid w:val="1A44170A"/>
    <w:rsid w:val="1A6C077E"/>
    <w:rsid w:val="1A9677A5"/>
    <w:rsid w:val="1B3577E5"/>
    <w:rsid w:val="1B636A73"/>
    <w:rsid w:val="1BC806AD"/>
    <w:rsid w:val="1D153384"/>
    <w:rsid w:val="1DB821B4"/>
    <w:rsid w:val="1DD16D44"/>
    <w:rsid w:val="1E8877C6"/>
    <w:rsid w:val="1FAB4F33"/>
    <w:rsid w:val="21536BE2"/>
    <w:rsid w:val="220B2A67"/>
    <w:rsid w:val="22494516"/>
    <w:rsid w:val="23077E8C"/>
    <w:rsid w:val="23841D23"/>
    <w:rsid w:val="25102484"/>
    <w:rsid w:val="257C55A1"/>
    <w:rsid w:val="25FD3DC1"/>
    <w:rsid w:val="28904464"/>
    <w:rsid w:val="28A549F1"/>
    <w:rsid w:val="2AC94A45"/>
    <w:rsid w:val="2C1A7AA5"/>
    <w:rsid w:val="2C716C28"/>
    <w:rsid w:val="2F8C575D"/>
    <w:rsid w:val="308B0B94"/>
    <w:rsid w:val="30EB6F8A"/>
    <w:rsid w:val="31500434"/>
    <w:rsid w:val="316E563E"/>
    <w:rsid w:val="326A33C4"/>
    <w:rsid w:val="34696744"/>
    <w:rsid w:val="35946055"/>
    <w:rsid w:val="35BB62CF"/>
    <w:rsid w:val="35E97296"/>
    <w:rsid w:val="36347AA5"/>
    <w:rsid w:val="368178F0"/>
    <w:rsid w:val="37A9063B"/>
    <w:rsid w:val="38B70159"/>
    <w:rsid w:val="39324E64"/>
    <w:rsid w:val="39726B79"/>
    <w:rsid w:val="39BC5A46"/>
    <w:rsid w:val="39D06FEF"/>
    <w:rsid w:val="3A7109F1"/>
    <w:rsid w:val="3AEF5DA0"/>
    <w:rsid w:val="3B1F2D55"/>
    <w:rsid w:val="3B555912"/>
    <w:rsid w:val="3C2C373C"/>
    <w:rsid w:val="3C71340C"/>
    <w:rsid w:val="3CAB2ED0"/>
    <w:rsid w:val="3D72766D"/>
    <w:rsid w:val="3E774375"/>
    <w:rsid w:val="3FA8494A"/>
    <w:rsid w:val="3FB67773"/>
    <w:rsid w:val="40D46EE9"/>
    <w:rsid w:val="425A4AF0"/>
    <w:rsid w:val="427B40E7"/>
    <w:rsid w:val="435A4594"/>
    <w:rsid w:val="43680E0A"/>
    <w:rsid w:val="437E4141"/>
    <w:rsid w:val="45886B80"/>
    <w:rsid w:val="464B58AF"/>
    <w:rsid w:val="46674E60"/>
    <w:rsid w:val="48945014"/>
    <w:rsid w:val="48ED2274"/>
    <w:rsid w:val="493C5708"/>
    <w:rsid w:val="4B7975A0"/>
    <w:rsid w:val="4BE24860"/>
    <w:rsid w:val="4BF41FBC"/>
    <w:rsid w:val="4CD8743B"/>
    <w:rsid w:val="4D652511"/>
    <w:rsid w:val="4ECF1E5E"/>
    <w:rsid w:val="4F4B1924"/>
    <w:rsid w:val="4FC71BC5"/>
    <w:rsid w:val="501464DE"/>
    <w:rsid w:val="51F80ADD"/>
    <w:rsid w:val="51FE6409"/>
    <w:rsid w:val="52B936FB"/>
    <w:rsid w:val="52C96F14"/>
    <w:rsid w:val="52EA3B5F"/>
    <w:rsid w:val="53A44ECA"/>
    <w:rsid w:val="557C54FA"/>
    <w:rsid w:val="55EA74F1"/>
    <w:rsid w:val="572D7CC0"/>
    <w:rsid w:val="591D6289"/>
    <w:rsid w:val="5937720F"/>
    <w:rsid w:val="59F27F04"/>
    <w:rsid w:val="5AE06C0B"/>
    <w:rsid w:val="5B2E2495"/>
    <w:rsid w:val="5BF46D23"/>
    <w:rsid w:val="5D611EBF"/>
    <w:rsid w:val="5D7C474C"/>
    <w:rsid w:val="5E9B2136"/>
    <w:rsid w:val="5EE32665"/>
    <w:rsid w:val="5FEE1164"/>
    <w:rsid w:val="6116030B"/>
    <w:rsid w:val="61CC4A17"/>
    <w:rsid w:val="62035A7C"/>
    <w:rsid w:val="629D2DB9"/>
    <w:rsid w:val="62AF4177"/>
    <w:rsid w:val="63002195"/>
    <w:rsid w:val="63297781"/>
    <w:rsid w:val="67F8727B"/>
    <w:rsid w:val="681A03B1"/>
    <w:rsid w:val="68D732E4"/>
    <w:rsid w:val="69532F06"/>
    <w:rsid w:val="6AF60257"/>
    <w:rsid w:val="6C0571F4"/>
    <w:rsid w:val="6C991304"/>
    <w:rsid w:val="6CA53813"/>
    <w:rsid w:val="6CAD533B"/>
    <w:rsid w:val="6CB377FF"/>
    <w:rsid w:val="6EDA38DA"/>
    <w:rsid w:val="6F4D07E7"/>
    <w:rsid w:val="720435E3"/>
    <w:rsid w:val="730D6C0C"/>
    <w:rsid w:val="738176CE"/>
    <w:rsid w:val="73AB4FF1"/>
    <w:rsid w:val="74AA6DB5"/>
    <w:rsid w:val="769F0BAB"/>
    <w:rsid w:val="76A404C0"/>
    <w:rsid w:val="76F336CA"/>
    <w:rsid w:val="77207D0A"/>
    <w:rsid w:val="77321779"/>
    <w:rsid w:val="77397873"/>
    <w:rsid w:val="79A914B1"/>
    <w:rsid w:val="7A3D6C52"/>
    <w:rsid w:val="7B3B0012"/>
    <w:rsid w:val="7C196FBF"/>
    <w:rsid w:val="7CFF7F6E"/>
    <w:rsid w:val="7D794E98"/>
    <w:rsid w:val="7E071F4E"/>
    <w:rsid w:val="7E590F3B"/>
    <w:rsid w:val="7E8D1088"/>
    <w:rsid w:val="7E9232AE"/>
    <w:rsid w:val="7EF96ABF"/>
    <w:rsid w:val="7F8B4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7"/>
    <w:qFormat/>
    <w:uiPriority w:val="0"/>
    <w:pPr>
      <w:tabs>
        <w:tab w:val="center" w:pos="4153"/>
        <w:tab w:val="right" w:pos="8306"/>
      </w:tabs>
      <w:snapToGrid w:val="0"/>
      <w:jc w:val="left"/>
    </w:pPr>
    <w:rPr>
      <w:sz w:val="18"/>
      <w:szCs w:val="18"/>
    </w:rPr>
  </w:style>
  <w:style w:type="paragraph" w:styleId="4">
    <w:name w:val="header"/>
    <w:basedOn w:val="1"/>
    <w:link w:val="16"/>
    <w:qFormat/>
    <w:uiPriority w:val="0"/>
    <w:pPr>
      <w:tabs>
        <w:tab w:val="center" w:pos="4153"/>
        <w:tab w:val="right" w:pos="8306"/>
      </w:tabs>
      <w:snapToGrid w:val="0"/>
      <w:jc w:val="center"/>
    </w:pPr>
    <w:rPr>
      <w:sz w:val="18"/>
      <w:szCs w:val="18"/>
    </w:rPr>
  </w:style>
  <w:style w:type="paragraph" w:styleId="5">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character" w:styleId="8">
    <w:name w:val="annotation reference"/>
    <w:qFormat/>
    <w:uiPriority w:val="0"/>
    <w:rPr>
      <w:sz w:val="21"/>
      <w:szCs w:val="21"/>
    </w:rPr>
  </w:style>
  <w:style w:type="character" w:customStyle="1" w:styleId="9">
    <w:name w:val="NormalCharacter"/>
    <w:qFormat/>
    <w:uiPriority w:val="99"/>
    <w:rPr>
      <w:rFonts w:ascii="Times New Roman" w:hAnsi="Times New Roman" w:eastAsia="宋体"/>
    </w:rPr>
  </w:style>
  <w:style w:type="character" w:customStyle="1" w:styleId="10">
    <w:name w:val="UserStyle_1"/>
    <w:qFormat/>
    <w:uiPriority w:val="99"/>
    <w:rPr>
      <w:rFonts w:ascii="Times New Roman" w:hAnsi="Times New Roman" w:eastAsia="宋体"/>
    </w:rPr>
  </w:style>
  <w:style w:type="paragraph" w:customStyle="1" w:styleId="11">
    <w:name w:val="Footer1"/>
    <w:basedOn w:val="1"/>
    <w:qFormat/>
    <w:uiPriority w:val="99"/>
    <w:pPr>
      <w:tabs>
        <w:tab w:val="center" w:pos="4153"/>
        <w:tab w:val="right" w:pos="8306"/>
      </w:tabs>
      <w:snapToGrid w:val="0"/>
      <w:jc w:val="left"/>
    </w:pPr>
    <w:rPr>
      <w:sz w:val="18"/>
    </w:rPr>
  </w:style>
  <w:style w:type="character" w:customStyle="1" w:styleId="12">
    <w:name w:val="PageNumber"/>
    <w:qFormat/>
    <w:uiPriority w:val="99"/>
    <w:rPr>
      <w:rFonts w:ascii="Times New Roman" w:hAnsi="Times New Roman" w:eastAsia="宋体"/>
    </w:rPr>
  </w:style>
  <w:style w:type="paragraph" w:customStyle="1" w:styleId="13">
    <w:name w:val="_Style 9"/>
    <w:hidden/>
    <w:unhideWhenUsed/>
    <w:qFormat/>
    <w:uiPriority w:val="99"/>
    <w:rPr>
      <w:rFonts w:ascii="Times New Roman" w:hAnsi="Times New Roman" w:eastAsia="宋体" w:cs="Times New Roman"/>
      <w:kern w:val="2"/>
      <w:sz w:val="21"/>
      <w:lang w:val="en-US" w:eastAsia="zh-CN" w:bidi="ar-SA"/>
    </w:rPr>
  </w:style>
  <w:style w:type="paragraph" w:customStyle="1" w:styleId="14">
    <w:name w:val="正常"/>
    <w:qFormat/>
    <w:uiPriority w:val="0"/>
    <w:pPr>
      <w:widowControl w:val="0"/>
      <w:jc w:val="both"/>
    </w:pPr>
    <w:rPr>
      <w:rFonts w:hint="eastAsia" w:ascii="Arial Unicode MS" w:hAnsi="Arial Unicode MS" w:eastAsia="Verdana" w:cs="Arial Unicode MS"/>
      <w:color w:val="000000"/>
      <w:sz w:val="22"/>
      <w:szCs w:val="22"/>
      <w:u w:color="000000"/>
      <w:lang w:val="en-US" w:eastAsia="zh-CN" w:bidi="ar-SA"/>
    </w:rPr>
  </w:style>
  <w:style w:type="paragraph" w:customStyle="1" w:styleId="15">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16">
    <w:name w:val="页眉 字符"/>
    <w:basedOn w:val="7"/>
    <w:link w:val="4"/>
    <w:qFormat/>
    <w:uiPriority w:val="0"/>
    <w:rPr>
      <w:kern w:val="2"/>
      <w:sz w:val="18"/>
      <w:szCs w:val="18"/>
    </w:rPr>
  </w:style>
  <w:style w:type="character" w:customStyle="1" w:styleId="17">
    <w:name w:val="页脚 字符"/>
    <w:basedOn w:val="7"/>
    <w:link w:val="3"/>
    <w:qFormat/>
    <w:uiPriority w:val="0"/>
    <w:rPr>
      <w:kern w:val="2"/>
      <w:sz w:val="18"/>
      <w:szCs w:val="18"/>
    </w:rPr>
  </w:style>
  <w:style w:type="paragraph" w:customStyle="1" w:styleId="18">
    <w:name w:val="Revision"/>
    <w:hidden/>
    <w:unhideWhenUsed/>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1910</Words>
  <Characters>2045</Characters>
  <Lines>170</Lines>
  <Paragraphs>131</Paragraphs>
  <TotalTime>0</TotalTime>
  <ScaleCrop>false</ScaleCrop>
  <LinksUpToDate>false</LinksUpToDate>
  <CharactersWithSpaces>3824</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2025-08-15T02:26:00Z</dcterms:created>
  <dc:creator>huanghkh</dc:creator>
  <cp:lastModifiedBy>梁玮斯</cp:lastModifiedBy>
  <dcterms:modified xsi:type="dcterms:W3CDTF">2025-09-11T08:16:53Z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8C1FDF32DAF5487C934F62E3FF81C040_13</vt:lpwstr>
  </property>
  <property fmtid="{D5CDD505-2E9C-101B-9397-08002B2CF9AE}" pid="4" name="KSOTemplateDocerSaveRecord">
    <vt:lpwstr>eyJoZGlkIjoiZGQ5NjVjOThiNzEzNGU2NDJiMWJmZGJiNDI0YWMzN2UiLCJ1c2VySWQiOiIxMjE1OTM3MDg5In0=</vt:lpwstr>
  </property>
</Properties>
</file>